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CE3CB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CE3CB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CE3CB0" w:rsidRDefault="00042F3A" w:rsidP="00CE3CB0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>
              <w:t>1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3E1608" w:rsidRPr="00CE3CB0">
              <w:rPr>
                <w:rtl/>
              </w:rPr>
              <w:t xml:space="preserve">لإضافة </w:t>
            </w:r>
            <w:r w:rsidR="003E1608" w:rsidRPr="00CE3CB0">
              <w:t>6</w:t>
            </w:r>
            <w:r w:rsidR="003E1608" w:rsidRPr="00CE3CB0">
              <w:br/>
            </w:r>
            <w:r w:rsidR="003E1608" w:rsidRPr="00CE3CB0">
              <w:rPr>
                <w:rtl/>
              </w:rPr>
              <w:t xml:space="preserve">للوثيقة </w:t>
            </w:r>
            <w:r w:rsidR="003E1608" w:rsidRPr="00CE3CB0">
              <w:t>25(Add.20)</w:t>
            </w:r>
            <w:r w:rsidR="00CE3CB0"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CE3CB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CE3CB0" w:rsidRDefault="00042F3A" w:rsidP="00042F3A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eastAsia="SimSun"/>
              </w:rPr>
              <w:t>8</w:t>
            </w:r>
            <w:r w:rsidR="00764079" w:rsidRPr="00CE3CB0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 xml:space="preserve">أكتوبر </w:t>
            </w:r>
            <w:r w:rsidR="00764079" w:rsidRPr="00CE3CB0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CE3CB0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CE3CB0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  <w:r w:rsidRPr="00CE3CB0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E3CB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CC7EB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CC7EB7">
              <w:t>(6.1.9)1.9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270BCE" w:rsidP="00CC7EB7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270BCE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AA45B5" w:rsidRDefault="00270BCE" w:rsidP="00AA45B5">
      <w:pPr>
        <w:rPr>
          <w:rFonts w:eastAsia="SimSun"/>
          <w:spacing w:val="-4"/>
        </w:rPr>
      </w:pPr>
      <w:r w:rsidRPr="00AA45B5">
        <w:rPr>
          <w:rFonts w:eastAsia="SimSun"/>
          <w:spacing w:val="-4"/>
          <w:lang w:bidi="ar-SY"/>
        </w:rPr>
        <w:t>(</w:t>
      </w:r>
      <w:r w:rsidRPr="00AA45B5">
        <w:rPr>
          <w:rFonts w:eastAsia="SimSun"/>
          <w:spacing w:val="-4"/>
        </w:rPr>
        <w:t>6.1.9</w:t>
      </w:r>
      <w:r w:rsidRPr="00AA45B5">
        <w:rPr>
          <w:rFonts w:eastAsia="SimSun"/>
          <w:spacing w:val="-4"/>
          <w:lang w:bidi="ar-SY"/>
        </w:rPr>
        <w:t>)1.9</w:t>
      </w:r>
      <w:r w:rsidRPr="00AA45B5">
        <w:rPr>
          <w:rFonts w:eastAsia="SimSun"/>
          <w:spacing w:val="-4"/>
          <w:rtl/>
        </w:rPr>
        <w:tab/>
      </w:r>
      <w:r w:rsidRPr="00AA45B5">
        <w:rPr>
          <w:rFonts w:eastAsia="SimSun" w:hint="cs"/>
          <w:spacing w:val="-4"/>
          <w:rtl/>
        </w:rPr>
        <w:t>القـرار</w:t>
      </w:r>
      <w:r w:rsidRPr="00AA45B5">
        <w:rPr>
          <w:rFonts w:eastAsia="SimSun"/>
          <w:spacing w:val="-4"/>
          <w:rtl/>
        </w:rPr>
        <w:t xml:space="preserve"> </w:t>
      </w:r>
      <w:r w:rsidRPr="00AA45B5">
        <w:rPr>
          <w:rFonts w:eastAsia="SimSun"/>
          <w:b/>
          <w:bCs/>
          <w:spacing w:val="-4"/>
        </w:rPr>
        <w:t>957 (WRC-12)</w:t>
      </w:r>
      <w:r w:rsidRPr="00AA45B5">
        <w:rPr>
          <w:rFonts w:eastAsia="SimSun" w:hint="cs"/>
          <w:spacing w:val="-4"/>
          <w:rtl/>
        </w:rPr>
        <w:t xml:space="preserve"> - إجراء</w:t>
      </w:r>
      <w:r w:rsidRPr="00AA45B5">
        <w:rPr>
          <w:rFonts w:eastAsia="SimSun"/>
          <w:spacing w:val="-4"/>
          <w:rtl/>
        </w:rPr>
        <w:t xml:space="preserve"> </w:t>
      </w:r>
      <w:r w:rsidRPr="00AA45B5">
        <w:rPr>
          <w:rFonts w:eastAsia="SimSun" w:hint="cs"/>
          <w:spacing w:val="-4"/>
          <w:rtl/>
        </w:rPr>
        <w:t>دراسات</w:t>
      </w:r>
      <w:r w:rsidRPr="00AA45B5">
        <w:rPr>
          <w:rFonts w:eastAsia="SimSun"/>
          <w:spacing w:val="-4"/>
          <w:rtl/>
        </w:rPr>
        <w:t xml:space="preserve"> </w:t>
      </w:r>
      <w:r w:rsidRPr="00AA45B5">
        <w:rPr>
          <w:rFonts w:eastAsia="SimSun" w:hint="cs"/>
          <w:spacing w:val="-4"/>
          <w:rtl/>
        </w:rPr>
        <w:t>بهدف</w:t>
      </w:r>
      <w:r w:rsidRPr="00AA45B5">
        <w:rPr>
          <w:rFonts w:eastAsia="SimSun"/>
          <w:spacing w:val="-4"/>
          <w:rtl/>
        </w:rPr>
        <w:t xml:space="preserve"> </w:t>
      </w:r>
      <w:r w:rsidRPr="00AA45B5">
        <w:rPr>
          <w:rFonts w:eastAsia="SimSun" w:hint="cs"/>
          <w:spacing w:val="-4"/>
          <w:rtl/>
        </w:rPr>
        <w:t>استعراض</w:t>
      </w:r>
      <w:r w:rsidRPr="00AA45B5">
        <w:rPr>
          <w:rFonts w:eastAsia="SimSun"/>
          <w:spacing w:val="-4"/>
          <w:rtl/>
        </w:rPr>
        <w:t xml:space="preserve"> </w:t>
      </w:r>
      <w:r w:rsidRPr="00AA45B5">
        <w:rPr>
          <w:rFonts w:eastAsia="SimSun" w:hint="cs"/>
          <w:spacing w:val="-4"/>
          <w:rtl/>
        </w:rPr>
        <w:t>تعاريف</w:t>
      </w:r>
      <w:r w:rsidRPr="00AA45B5">
        <w:rPr>
          <w:rFonts w:eastAsia="SimSun"/>
          <w:spacing w:val="-4"/>
          <w:rtl/>
        </w:rPr>
        <w:t xml:space="preserve"> </w:t>
      </w:r>
      <w:r w:rsidRPr="00AA45B5">
        <w:rPr>
          <w:rFonts w:eastAsia="SimSun" w:hint="cs"/>
          <w:spacing w:val="-4"/>
          <w:rtl/>
        </w:rPr>
        <w:t>الخدمة</w:t>
      </w:r>
      <w:r w:rsidRPr="00AA45B5">
        <w:rPr>
          <w:rFonts w:eastAsia="SimSun"/>
          <w:spacing w:val="-4"/>
          <w:rtl/>
        </w:rPr>
        <w:t xml:space="preserve"> </w:t>
      </w:r>
      <w:r w:rsidRPr="00AA45B5">
        <w:rPr>
          <w:rFonts w:eastAsia="SimSun" w:hint="cs"/>
          <w:spacing w:val="-4"/>
          <w:rtl/>
        </w:rPr>
        <w:t>الثابتة</w:t>
      </w:r>
      <w:r w:rsidRPr="00AA45B5">
        <w:rPr>
          <w:rFonts w:eastAsia="SimSun"/>
          <w:spacing w:val="-4"/>
          <w:rtl/>
        </w:rPr>
        <w:t xml:space="preserve"> </w:t>
      </w:r>
      <w:r w:rsidRPr="00AA45B5">
        <w:rPr>
          <w:rFonts w:eastAsia="SimSun" w:hint="cs"/>
          <w:spacing w:val="-4"/>
          <w:rtl/>
        </w:rPr>
        <w:t>والمحطة</w:t>
      </w:r>
      <w:r w:rsidRPr="00AA45B5">
        <w:rPr>
          <w:rFonts w:eastAsia="SimSun"/>
          <w:spacing w:val="-4"/>
          <w:rtl/>
        </w:rPr>
        <w:t xml:space="preserve"> </w:t>
      </w:r>
      <w:r w:rsidRPr="00AA45B5">
        <w:rPr>
          <w:rFonts w:eastAsia="SimSun" w:hint="cs"/>
          <w:spacing w:val="-4"/>
          <w:rtl/>
        </w:rPr>
        <w:t>الثابتة</w:t>
      </w:r>
      <w:r w:rsidRPr="00AA45B5">
        <w:rPr>
          <w:rFonts w:eastAsia="SimSun"/>
          <w:spacing w:val="-4"/>
          <w:rtl/>
        </w:rPr>
        <w:t xml:space="preserve"> </w:t>
      </w:r>
      <w:r w:rsidRPr="00AA45B5">
        <w:rPr>
          <w:rFonts w:eastAsia="SimSun" w:hint="cs"/>
          <w:spacing w:val="-4"/>
          <w:rtl/>
        </w:rPr>
        <w:t>والمحطة</w:t>
      </w:r>
      <w:r w:rsidR="00AA45B5" w:rsidRPr="00AA45B5">
        <w:rPr>
          <w:rFonts w:eastAsia="SimSun" w:hint="cs"/>
          <w:spacing w:val="-4"/>
          <w:rtl/>
        </w:rPr>
        <w:t> </w:t>
      </w:r>
      <w:r w:rsidRPr="00AA45B5">
        <w:rPr>
          <w:rFonts w:eastAsia="SimSun" w:hint="cs"/>
          <w:spacing w:val="-4"/>
          <w:rtl/>
        </w:rPr>
        <w:t>المتنقلة</w:t>
      </w:r>
    </w:p>
    <w:p w:rsidR="00F16602" w:rsidRPr="00205DF4" w:rsidRDefault="00DC3DB5" w:rsidP="00DC3DB5">
      <w:pPr>
        <w:rPr>
          <w:rtl/>
        </w:rPr>
      </w:pPr>
      <w:r w:rsidRPr="00205DF4">
        <w:rPr>
          <w:rtl/>
        </w:rPr>
        <w:t>أجرى قطاع الاتصالات الراديوية في الاتحاد دراسات وفقا</w:t>
      </w:r>
      <w:r w:rsidRPr="00205DF4">
        <w:rPr>
          <w:rFonts w:hint="cs"/>
          <w:rtl/>
        </w:rPr>
        <w:t>ً</w:t>
      </w:r>
      <w:r w:rsidRPr="00205DF4">
        <w:rPr>
          <w:rtl/>
        </w:rPr>
        <w:t xml:space="preserve"> للقرار </w:t>
      </w:r>
      <w:r w:rsidRPr="00205DF4">
        <w:t>957 (WRC-12)</w:t>
      </w:r>
      <w:r w:rsidRPr="00205DF4">
        <w:rPr>
          <w:rFonts w:hint="cs"/>
          <w:rtl/>
        </w:rPr>
        <w:t>.</w:t>
      </w:r>
      <w:r w:rsidRPr="00205DF4">
        <w:rPr>
          <w:rtl/>
        </w:rPr>
        <w:t xml:space="preserve"> وروجعت بدقة خلال فترة الدراسة المذكورة تعاريف </w:t>
      </w:r>
      <w:r w:rsidRPr="00205DF4">
        <w:rPr>
          <w:i/>
          <w:iCs/>
          <w:rtl/>
        </w:rPr>
        <w:t>الخدمة الثابتة</w:t>
      </w:r>
      <w:r w:rsidRPr="00205DF4">
        <w:rPr>
          <w:rtl/>
        </w:rPr>
        <w:t>، و</w:t>
      </w:r>
      <w:r w:rsidRPr="00205DF4">
        <w:rPr>
          <w:i/>
          <w:iCs/>
          <w:rtl/>
        </w:rPr>
        <w:t>المحطة الثابتة</w:t>
      </w:r>
      <w:r w:rsidRPr="00205DF4">
        <w:rPr>
          <w:rtl/>
        </w:rPr>
        <w:t>، و</w:t>
      </w:r>
      <w:r w:rsidRPr="00205DF4">
        <w:rPr>
          <w:i/>
          <w:iCs/>
          <w:rtl/>
        </w:rPr>
        <w:t>المحطة المتنقلة</w:t>
      </w:r>
      <w:r w:rsidRPr="00205DF4">
        <w:rPr>
          <w:rtl/>
        </w:rPr>
        <w:t>، إلى جانب دراسة الأثر المحتمل على الإجراءات التنظيمية في لوائح الراديو</w:t>
      </w:r>
      <w:r w:rsidRPr="00205DF4">
        <w:rPr>
          <w:rFonts w:hint="cs"/>
          <w:rtl/>
        </w:rPr>
        <w:t> </w:t>
      </w:r>
      <w:r w:rsidRPr="00205DF4">
        <w:t>(RR)</w:t>
      </w:r>
      <w:r w:rsidRPr="00205DF4">
        <w:rPr>
          <w:rFonts w:hint="cs"/>
          <w:rtl/>
        </w:rPr>
        <w:t xml:space="preserve"> </w:t>
      </w:r>
      <w:r w:rsidRPr="00205DF4">
        <w:rPr>
          <w:rtl/>
        </w:rPr>
        <w:t>(التنسيق والتبليغ والتسجيل) والأثر على تخصيصات التردد الحالية والخدمات الأخرى نتيجة للتغييرات المحتملة في التعاريف</w:t>
      </w:r>
      <w:r w:rsidRPr="00205DF4">
        <w:rPr>
          <w:rFonts w:hint="cs"/>
          <w:rtl/>
        </w:rPr>
        <w:t>.</w:t>
      </w:r>
    </w:p>
    <w:p w:rsidR="00DC3DB5" w:rsidRPr="00205DF4" w:rsidRDefault="00DC3DB5" w:rsidP="00AA45B5">
      <w:pPr>
        <w:rPr>
          <w:rtl/>
        </w:rPr>
      </w:pPr>
      <w:r w:rsidRPr="00205DF4">
        <w:rPr>
          <w:rFonts w:hint="cs"/>
          <w:rtl/>
        </w:rPr>
        <w:t>وخلصت الدراسات ب</w:t>
      </w:r>
      <w:r w:rsidRPr="00205DF4">
        <w:rPr>
          <w:rtl/>
        </w:rPr>
        <w:t xml:space="preserve">الإبقاء على التعاريف الحالية </w:t>
      </w:r>
      <w:r w:rsidRPr="00205DF4">
        <w:rPr>
          <w:i/>
          <w:iCs/>
          <w:rtl/>
        </w:rPr>
        <w:t>للخدمة الثابتة</w:t>
      </w:r>
      <w:r w:rsidRPr="00205DF4">
        <w:rPr>
          <w:rtl/>
        </w:rPr>
        <w:t>، و</w:t>
      </w:r>
      <w:r w:rsidRPr="00205DF4">
        <w:rPr>
          <w:i/>
          <w:iCs/>
          <w:rtl/>
        </w:rPr>
        <w:t>المحطة الثابتة</w:t>
      </w:r>
      <w:r w:rsidRPr="00205DF4">
        <w:rPr>
          <w:rtl/>
        </w:rPr>
        <w:t>، و</w:t>
      </w:r>
      <w:r w:rsidRPr="00205DF4">
        <w:rPr>
          <w:i/>
          <w:iCs/>
          <w:rtl/>
        </w:rPr>
        <w:t>المحطة المتنقلة</w:t>
      </w:r>
      <w:r w:rsidRPr="00205DF4">
        <w:rPr>
          <w:rtl/>
        </w:rPr>
        <w:t xml:space="preserve"> في المادة</w:t>
      </w:r>
      <w:r w:rsidR="00AA45B5">
        <w:rPr>
          <w:rFonts w:hint="cs"/>
          <w:rtl/>
        </w:rPr>
        <w:t> </w:t>
      </w:r>
      <w:r w:rsidRPr="00205DF4">
        <w:t>1</w:t>
      </w:r>
      <w:r w:rsidRPr="00205DF4">
        <w:rPr>
          <w:rtl/>
        </w:rPr>
        <w:t xml:space="preserve"> من لوائح الراديو </w:t>
      </w:r>
      <w:r w:rsidRPr="00205DF4">
        <w:rPr>
          <w:rFonts w:hint="cs"/>
          <w:rtl/>
        </w:rPr>
        <w:t>كون هذ</w:t>
      </w:r>
      <w:r w:rsidR="00384851">
        <w:rPr>
          <w:rFonts w:hint="cs"/>
          <w:rtl/>
        </w:rPr>
        <w:t>ه</w:t>
      </w:r>
      <w:r w:rsidRPr="00205DF4">
        <w:rPr>
          <w:rFonts w:hint="cs"/>
          <w:rtl/>
        </w:rPr>
        <w:t xml:space="preserve"> التعريفات قادرة</w:t>
      </w:r>
      <w:r w:rsidRPr="00205DF4">
        <w:rPr>
          <w:rtl/>
        </w:rPr>
        <w:t xml:space="preserve"> على التكيف مع تطور التكنولوجيا وأن هناك مرونة كافية في لوائح الراديو</w:t>
      </w:r>
      <w:r w:rsidR="00AA45B5">
        <w:rPr>
          <w:rFonts w:hint="cs"/>
          <w:rtl/>
        </w:rPr>
        <w:t> </w:t>
      </w:r>
      <w:r w:rsidRPr="00205DF4">
        <w:rPr>
          <w:rtl/>
        </w:rPr>
        <w:t>الحالية</w:t>
      </w:r>
      <w:r w:rsidRPr="00205DF4">
        <w:rPr>
          <w:rFonts w:hint="cs"/>
          <w:rtl/>
        </w:rPr>
        <w:t>.</w:t>
      </w:r>
    </w:p>
    <w:p w:rsidR="00DC3DB5" w:rsidRPr="00205DF4" w:rsidRDefault="00DC3DB5" w:rsidP="00AA45B5">
      <w:pPr>
        <w:jc w:val="left"/>
        <w:rPr>
          <w:noProof/>
          <w:rtl/>
        </w:rPr>
      </w:pPr>
      <w:r w:rsidRPr="004347E4">
        <w:rPr>
          <w:rFonts w:hint="cs"/>
          <w:rtl/>
          <w:lang w:bidi="ar-OM"/>
        </w:rPr>
        <w:t xml:space="preserve">وعليه، تؤيد إدارات الدول العربية عدم التعديل على لوائح الراديو بالإضافة إلى إلغاء القرار </w:t>
      </w:r>
      <w:r w:rsidRPr="004347E4">
        <w:t>957</w:t>
      </w:r>
      <w:r w:rsidR="00AA45B5">
        <w:t> </w:t>
      </w:r>
      <w:r w:rsidRPr="004347E4">
        <w:t>(WRC</w:t>
      </w:r>
      <w:r w:rsidR="00AA45B5">
        <w:noBreakHyphen/>
      </w:r>
      <w:r w:rsidRPr="004347E4">
        <w:t>12)</w:t>
      </w:r>
      <w:r w:rsidRPr="004347E4">
        <w:rPr>
          <w:rFonts w:hint="cs"/>
          <w:rtl/>
          <w:lang w:bidi="ar-OM"/>
        </w:rPr>
        <w:t>.</w:t>
      </w:r>
    </w:p>
    <w:p w:rsidR="00DC3DB5" w:rsidRDefault="00DC3DB5" w:rsidP="00270BCE">
      <w:pPr>
        <w:pStyle w:val="Headingb"/>
        <w:rPr>
          <w:rtl/>
        </w:rPr>
      </w:pPr>
      <w:r w:rsidRPr="00DC3DB5"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Default="00270BCE" w:rsidP="009F37C9">
      <w:pPr>
        <w:pStyle w:val="ArtNo"/>
        <w:spacing w:before="0"/>
        <w:rPr>
          <w:rtl/>
        </w:rPr>
      </w:pPr>
      <w:bookmarkStart w:id="1" w:name="_Toc331055722"/>
      <w:r>
        <w:rPr>
          <w:rtl/>
        </w:rPr>
        <w:lastRenderedPageBreak/>
        <w:t xml:space="preserve">المـادة </w:t>
      </w:r>
      <w:r w:rsidRPr="00C41504">
        <w:rPr>
          <w:rStyle w:val="href"/>
        </w:rPr>
        <w:t>1</w:t>
      </w:r>
      <w:bookmarkEnd w:id="1"/>
    </w:p>
    <w:p w:rsidR="009F37C9" w:rsidRPr="007C08E6" w:rsidRDefault="00270BCE" w:rsidP="009F37C9">
      <w:pPr>
        <w:pStyle w:val="Arttitle"/>
        <w:rPr>
          <w:b w:val="0"/>
          <w:rtl/>
        </w:rPr>
      </w:pPr>
      <w:bookmarkStart w:id="2" w:name="_Toc331055723"/>
      <w:r w:rsidRPr="007C08E6">
        <w:rPr>
          <w:b w:val="0"/>
          <w:rtl/>
        </w:rPr>
        <w:t>مصطلحات وتعريفات</w:t>
      </w:r>
      <w:bookmarkEnd w:id="2"/>
    </w:p>
    <w:p w:rsidR="009F37C9" w:rsidRPr="00EE6A13" w:rsidRDefault="00270BCE" w:rsidP="00314618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III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الخدمات الراديوية</w:t>
      </w:r>
    </w:p>
    <w:p w:rsidR="00616AC4" w:rsidRDefault="00270BCE">
      <w:pPr>
        <w:pStyle w:val="Proposal"/>
      </w:pPr>
      <w:r>
        <w:rPr>
          <w:u w:val="single"/>
        </w:rPr>
        <w:t>NOC</w:t>
      </w:r>
      <w:r>
        <w:tab/>
        <w:t>ARB/25A20A6/1</w:t>
      </w:r>
    </w:p>
    <w:p w:rsidR="009F37C9" w:rsidRDefault="00270BCE" w:rsidP="00314618">
      <w:pPr>
        <w:rPr>
          <w:rtl/>
        </w:rPr>
      </w:pPr>
      <w:r w:rsidRPr="00C81506">
        <w:rPr>
          <w:rStyle w:val="Artdef"/>
        </w:rPr>
        <w:t>20.1</w:t>
      </w:r>
      <w:r>
        <w:rPr>
          <w:rFonts w:hint="cs"/>
          <w:rtl/>
        </w:rPr>
        <w:tab/>
      </w:r>
      <w:r>
        <w:rPr>
          <w:rtl/>
        </w:rPr>
        <w:tab/>
      </w:r>
      <w:r>
        <w:rPr>
          <w:i/>
          <w:iCs/>
          <w:rtl/>
        </w:rPr>
        <w:t>الخدمة الثابتة</w:t>
      </w:r>
      <w:r>
        <w:rPr>
          <w:rtl/>
        </w:rPr>
        <w:t xml:space="preserve">:  هي خدمة </w:t>
      </w:r>
      <w:r>
        <w:rPr>
          <w:i/>
          <w:iCs/>
          <w:rtl/>
        </w:rPr>
        <w:t>اتصالات راديوية</w:t>
      </w:r>
      <w:r>
        <w:rPr>
          <w:rtl/>
        </w:rPr>
        <w:t xml:space="preserve"> بين نقاط ثابتة معينة.</w:t>
      </w:r>
    </w:p>
    <w:p w:rsidR="00616AC4" w:rsidRDefault="00616AC4">
      <w:pPr>
        <w:pStyle w:val="Reasons"/>
      </w:pPr>
    </w:p>
    <w:p w:rsidR="009F37C9" w:rsidRPr="00EE6A13" w:rsidRDefault="00270BCE" w:rsidP="00314618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IV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المحطات والأنظمة الراديوية</w:t>
      </w:r>
    </w:p>
    <w:p w:rsidR="00616AC4" w:rsidRDefault="00270BCE">
      <w:pPr>
        <w:pStyle w:val="Proposal"/>
      </w:pPr>
      <w:r>
        <w:rPr>
          <w:u w:val="single"/>
        </w:rPr>
        <w:t>NOC</w:t>
      </w:r>
      <w:r>
        <w:tab/>
        <w:t>ARB/25A20A6/2</w:t>
      </w:r>
    </w:p>
    <w:p w:rsidR="009F37C9" w:rsidRDefault="00270BCE" w:rsidP="00314618">
      <w:pPr>
        <w:rPr>
          <w:rtl/>
        </w:rPr>
      </w:pPr>
      <w:r w:rsidRPr="00C81506">
        <w:rPr>
          <w:rStyle w:val="Artdef"/>
        </w:rPr>
        <w:t>66.1</w:t>
      </w:r>
      <w:r w:rsidRPr="007A3994">
        <w:rPr>
          <w:rStyle w:val="Artdef"/>
          <w:rtl/>
        </w:rPr>
        <w:tab/>
      </w:r>
      <w:r>
        <w:rPr>
          <w:rtl/>
        </w:rPr>
        <w:tab/>
      </w:r>
      <w:r w:rsidRPr="000F01D5">
        <w:rPr>
          <w:i/>
          <w:iCs/>
          <w:rtl/>
        </w:rPr>
        <w:t>المحطة الثابتة</w:t>
      </w:r>
      <w:r>
        <w:rPr>
          <w:rtl/>
        </w:rPr>
        <w:t>:  هي محطة في </w:t>
      </w:r>
      <w:bookmarkStart w:id="3" w:name="_GoBack"/>
      <w:r w:rsidRPr="000F01D5">
        <w:rPr>
          <w:i/>
          <w:iCs/>
          <w:rtl/>
        </w:rPr>
        <w:t>الخدمة الثابتة</w:t>
      </w:r>
      <w:bookmarkEnd w:id="3"/>
      <w:r>
        <w:rPr>
          <w:rtl/>
        </w:rPr>
        <w:t>.</w:t>
      </w:r>
    </w:p>
    <w:p w:rsidR="00616AC4" w:rsidRDefault="00616AC4">
      <w:pPr>
        <w:pStyle w:val="Reasons"/>
      </w:pPr>
    </w:p>
    <w:p w:rsidR="00616AC4" w:rsidRDefault="00270BCE">
      <w:pPr>
        <w:pStyle w:val="Proposal"/>
      </w:pPr>
      <w:r>
        <w:rPr>
          <w:u w:val="single"/>
        </w:rPr>
        <w:t>NOC</w:t>
      </w:r>
      <w:r>
        <w:tab/>
        <w:t>ARB/25A20A6/3</w:t>
      </w:r>
    </w:p>
    <w:p w:rsidR="009F37C9" w:rsidRDefault="00270BCE" w:rsidP="00384851">
      <w:pPr>
        <w:rPr>
          <w:rtl/>
        </w:rPr>
      </w:pPr>
      <w:r w:rsidRPr="00C81506">
        <w:rPr>
          <w:rStyle w:val="Artdef"/>
        </w:rPr>
        <w:t>67.1</w:t>
      </w:r>
      <w:r w:rsidRPr="007A3994">
        <w:rPr>
          <w:rStyle w:val="Artdef"/>
          <w:rtl/>
        </w:rPr>
        <w:tab/>
      </w:r>
      <w:r>
        <w:rPr>
          <w:rtl/>
        </w:rPr>
        <w:tab/>
      </w:r>
      <w:r>
        <w:rPr>
          <w:i/>
          <w:iCs/>
          <w:rtl/>
        </w:rPr>
        <w:t>المحطة المتنقلة</w:t>
      </w:r>
      <w:r>
        <w:rPr>
          <w:rtl/>
        </w:rPr>
        <w:t xml:space="preserve">:  هي </w:t>
      </w:r>
      <w:r>
        <w:rPr>
          <w:i/>
          <w:iCs/>
          <w:rtl/>
        </w:rPr>
        <w:t>محطة</w:t>
      </w:r>
      <w:r>
        <w:rPr>
          <w:rtl/>
        </w:rPr>
        <w:t xml:space="preserve"> في </w:t>
      </w:r>
      <w:r>
        <w:rPr>
          <w:i/>
          <w:iCs/>
          <w:rtl/>
        </w:rPr>
        <w:t xml:space="preserve">الخدمة المتنقلة </w:t>
      </w:r>
      <w:r>
        <w:rPr>
          <w:rtl/>
        </w:rPr>
        <w:t>معدة للاستعمال أثناء تحركها، أو أثناء توقفها في نقاط غير</w:t>
      </w:r>
      <w:r w:rsidR="00384851">
        <w:rPr>
          <w:rFonts w:hint="cs"/>
          <w:rtl/>
        </w:rPr>
        <w:t> </w:t>
      </w:r>
      <w:r>
        <w:rPr>
          <w:rtl/>
        </w:rPr>
        <w:t>محددة.</w:t>
      </w:r>
    </w:p>
    <w:p w:rsidR="00616AC4" w:rsidRDefault="00616AC4">
      <w:pPr>
        <w:pStyle w:val="Reasons"/>
      </w:pPr>
    </w:p>
    <w:p w:rsidR="00616AC4" w:rsidRDefault="00270BCE">
      <w:pPr>
        <w:pStyle w:val="Proposal"/>
      </w:pPr>
      <w:r>
        <w:t>SUP</w:t>
      </w:r>
      <w:r>
        <w:tab/>
        <w:t>ARB/25A20A6/4</w:t>
      </w:r>
    </w:p>
    <w:p w:rsidR="00F26C6D" w:rsidRDefault="00270BCE" w:rsidP="00DD3D69">
      <w:pPr>
        <w:pStyle w:val="ResNo"/>
        <w:spacing w:before="360"/>
        <w:rPr>
          <w:rtl/>
          <w:lang w:bidi="ar-SA"/>
        </w:rPr>
      </w:pPr>
      <w:bookmarkStart w:id="4" w:name="_Toc327956811"/>
      <w:r>
        <w:rPr>
          <w:rFonts w:hint="cs"/>
          <w:rtl/>
        </w:rPr>
        <w:t xml:space="preserve">القـرار </w:t>
      </w:r>
      <w:r w:rsidRPr="00E23BAD">
        <w:rPr>
          <w:rStyle w:val="href"/>
        </w:rPr>
        <w:t>957</w:t>
      </w:r>
      <w:r>
        <w:t> (WRC-12)</w:t>
      </w:r>
      <w:bookmarkEnd w:id="4"/>
    </w:p>
    <w:p w:rsidR="00F26C6D" w:rsidRPr="00AE0FC0" w:rsidRDefault="00270BCE" w:rsidP="00DD3D69">
      <w:pPr>
        <w:pStyle w:val="Restitle"/>
        <w:spacing w:before="120" w:after="360"/>
        <w:rPr>
          <w:rtl/>
          <w:lang w:bidi="ar-EG"/>
        </w:rPr>
      </w:pPr>
      <w:bookmarkStart w:id="5" w:name="_Toc327956812"/>
      <w:r>
        <w:rPr>
          <w:rFonts w:hint="cs"/>
          <w:rtl/>
          <w:lang w:bidi="ar-EG"/>
        </w:rPr>
        <w:t xml:space="preserve">إجراء دراسات بهدف استعراض تعاريف </w:t>
      </w:r>
      <w:r w:rsidRPr="00B76FE9">
        <w:rPr>
          <w:rFonts w:hint="cs"/>
          <w:i/>
          <w:iCs/>
          <w:rtl/>
          <w:lang w:bidi="ar-EG"/>
        </w:rPr>
        <w:t>الخدمة الثابتة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و</w:t>
      </w:r>
      <w:r w:rsidRPr="00B76FE9">
        <w:rPr>
          <w:rFonts w:hint="cs"/>
          <w:i/>
          <w:iCs/>
          <w:rtl/>
          <w:lang w:bidi="ar-EG"/>
        </w:rPr>
        <w:t xml:space="preserve">المحطة الثابتة </w:t>
      </w:r>
      <w:r>
        <w:rPr>
          <w:rFonts w:hint="cs"/>
          <w:rtl/>
          <w:lang w:bidi="ar-EG"/>
        </w:rPr>
        <w:t>و</w:t>
      </w:r>
      <w:r w:rsidRPr="00B76FE9">
        <w:rPr>
          <w:rFonts w:hint="cs"/>
          <w:i/>
          <w:iCs/>
          <w:rtl/>
          <w:lang w:bidi="ar-EG"/>
        </w:rPr>
        <w:t>المحطة المتنقلة</w:t>
      </w:r>
      <w:bookmarkEnd w:id="5"/>
    </w:p>
    <w:p w:rsidR="00616AC4" w:rsidRDefault="00270BCE" w:rsidP="00DC3DB5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DC3DB5" w:rsidRPr="00DC3DB5">
        <w:rPr>
          <w:rFonts w:hint="cs"/>
          <w:b w:val="0"/>
          <w:bCs w:val="0"/>
          <w:rtl/>
        </w:rPr>
        <w:t>لا حاجة لهذا القرار.</w:t>
      </w:r>
    </w:p>
    <w:p w:rsidR="00DC3DB5" w:rsidRPr="00DC3DB5" w:rsidRDefault="00DC3DB5" w:rsidP="00DC3DB5">
      <w:pPr>
        <w:spacing w:before="600"/>
        <w:jc w:val="center"/>
      </w:pPr>
      <w:r>
        <w:rPr>
          <w:rtl/>
        </w:rPr>
        <w:t>___________</w:t>
      </w:r>
    </w:p>
    <w:sectPr w:rsidR="00DC3DB5" w:rsidRPr="00DC3DB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61" w:rsidRPr="00042F3A" w:rsidRDefault="00062961" w:rsidP="00062961">
    <w:pPr>
      <w:pStyle w:val="Footer"/>
      <w:tabs>
        <w:tab w:val="clear" w:pos="5812"/>
        <w:tab w:val="left" w:pos="6379"/>
      </w:tabs>
    </w:pPr>
    <w:r>
      <w:fldChar w:fldCharType="begin"/>
    </w:r>
    <w:r w:rsidRPr="00042F3A">
      <w:instrText xml:space="preserve"> FILENAME \p \* MERGEFORMAT </w:instrText>
    </w:r>
    <w:r>
      <w:fldChar w:fldCharType="separate"/>
    </w:r>
    <w:r w:rsidRPr="00042F3A">
      <w:rPr>
        <w:noProof/>
      </w:rPr>
      <w:t>P:\ARA\ITU-R\CONF-R\CMR15\000\025ADD20ADD06REV1A.docx</w:t>
    </w:r>
    <w:r>
      <w:fldChar w:fldCharType="end"/>
    </w:r>
    <w:r w:rsidRPr="00042F3A">
      <w:t xml:space="preserve">   (387807)</w:t>
    </w:r>
    <w:r w:rsidRPr="00042F3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A45B5">
      <w:rPr>
        <w:noProof/>
      </w:rPr>
      <w:t>08.10.15</w:t>
    </w:r>
    <w:r w:rsidRPr="00B12661">
      <w:fldChar w:fldCharType="end"/>
    </w:r>
    <w:r w:rsidRPr="00042F3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42F3A" w:rsidRDefault="00281F5F" w:rsidP="00062961">
    <w:pPr>
      <w:pStyle w:val="Footer"/>
      <w:tabs>
        <w:tab w:val="clear" w:pos="5812"/>
        <w:tab w:val="left" w:pos="6379"/>
      </w:tabs>
    </w:pPr>
    <w:r>
      <w:fldChar w:fldCharType="begin"/>
    </w:r>
    <w:r w:rsidRPr="00042F3A">
      <w:instrText xml:space="preserve"> FILENAME \p \* MERGEFORMAT </w:instrText>
    </w:r>
    <w:r>
      <w:fldChar w:fldCharType="separate"/>
    </w:r>
    <w:r w:rsidR="00062961" w:rsidRPr="00042F3A">
      <w:rPr>
        <w:noProof/>
      </w:rPr>
      <w:t>P:\ARA\ITU-R\CONF-R\CMR15\000\025ADD20ADD06REV1A.docx</w:t>
    </w:r>
    <w:r>
      <w:fldChar w:fldCharType="end"/>
    </w:r>
    <w:r w:rsidRPr="00042F3A">
      <w:t xml:space="preserve">   (</w:t>
    </w:r>
    <w:r w:rsidR="00062961" w:rsidRPr="00042F3A">
      <w:t>387807</w:t>
    </w:r>
    <w:r w:rsidRPr="00042F3A">
      <w:t>)</w:t>
    </w:r>
    <w:r w:rsidRPr="00042F3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A45B5">
      <w:rPr>
        <w:noProof/>
      </w:rPr>
      <w:t>08.10.15</w:t>
    </w:r>
    <w:r w:rsidRPr="00B12661">
      <w:fldChar w:fldCharType="end"/>
    </w:r>
    <w:r w:rsidRPr="00042F3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62961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F01D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25(Add.20)(Add.6)</w:t>
    </w:r>
    <w:r w:rsidR="00062961">
      <w:rPr>
        <w:rStyle w:val="PageNumber"/>
      </w:rPr>
      <w:t>(Rev.1)</w:t>
    </w:r>
    <w:r w:rsidR="00554AE7">
      <w:rPr>
        <w:rStyle w:val="PageNumber"/>
      </w:rPr>
      <w:t>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2F3A"/>
    <w:rsid w:val="00044D43"/>
    <w:rsid w:val="00051907"/>
    <w:rsid w:val="00062961"/>
    <w:rsid w:val="00075A3F"/>
    <w:rsid w:val="000A1B16"/>
    <w:rsid w:val="000B5404"/>
    <w:rsid w:val="000D1708"/>
    <w:rsid w:val="000E2AFC"/>
    <w:rsid w:val="000E6D30"/>
    <w:rsid w:val="000F01D5"/>
    <w:rsid w:val="000F05F5"/>
    <w:rsid w:val="000F28EA"/>
    <w:rsid w:val="000F518F"/>
    <w:rsid w:val="0010081C"/>
    <w:rsid w:val="001013E3"/>
    <w:rsid w:val="0010363F"/>
    <w:rsid w:val="001056B4"/>
    <w:rsid w:val="001464F2"/>
    <w:rsid w:val="0016156D"/>
    <w:rsid w:val="001629EC"/>
    <w:rsid w:val="00167364"/>
    <w:rsid w:val="001903B2"/>
    <w:rsid w:val="001E190C"/>
    <w:rsid w:val="001E54F6"/>
    <w:rsid w:val="001E5A8C"/>
    <w:rsid w:val="00201A0A"/>
    <w:rsid w:val="00205DF4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0BCE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84851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347E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16AC4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9513C"/>
    <w:rsid w:val="00896B82"/>
    <w:rsid w:val="008A1137"/>
    <w:rsid w:val="008A1788"/>
    <w:rsid w:val="008A4185"/>
    <w:rsid w:val="008A6552"/>
    <w:rsid w:val="008B20F9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31E8"/>
    <w:rsid w:val="00951718"/>
    <w:rsid w:val="009544B2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45B5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1B17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C7EB7"/>
    <w:rsid w:val="00CD0FDE"/>
    <w:rsid w:val="00CE0E68"/>
    <w:rsid w:val="00CE3CB0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3DB5"/>
    <w:rsid w:val="00DC7C0E"/>
    <w:rsid w:val="00DD3D69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9C7E6179-E318-4AB9-AE98-8A0DE165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R15-WRC15-C-0025!A20-A6!MSW-A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AEBB-243B-443A-B434-C39863E983E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B98239-BF66-4873-818B-C3D99512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R15-WRC15-C-0025!A20-A6!MSW-A</dc:title>
  <dc:creator>Documents Proposals Manager (DPM)</dc:creator>
  <cp:keywords>DPM_v5.2015.9.16_prod</cp:keywords>
  <cp:lastModifiedBy>Ajlouni, Nour</cp:lastModifiedBy>
  <cp:revision>11</cp:revision>
  <cp:lastPrinted>2011-11-07T13:53:00Z</cp:lastPrinted>
  <dcterms:created xsi:type="dcterms:W3CDTF">2015-10-08T14:26:00Z</dcterms:created>
  <dcterms:modified xsi:type="dcterms:W3CDTF">2015-10-12T07:52:00Z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