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BB1D82" w:rsidRPr="002A6F8F" w:rsidTr="000D4404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BE0CE5B" wp14:editId="4A593AD8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0D4404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0D4404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0D4404">
        <w:trPr>
          <w:cantSplit/>
        </w:trPr>
        <w:tc>
          <w:tcPr>
            <w:tcW w:w="652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B1D82" w:rsidRPr="001777C7" w:rsidRDefault="000D4404" w:rsidP="000D4404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Révision 1</w:t>
            </w:r>
            <w:r w:rsidR="006D4724" w:rsidRPr="001777C7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d</w:t>
            </w:r>
            <w:r w:rsidR="006D4724" w:rsidRPr="001777C7">
              <w:rPr>
                <w:rFonts w:ascii="Verdana" w:eastAsia="SimSun" w:hAnsi="Verdana" w:cs="Traditional Arabic"/>
                <w:b/>
                <w:sz w:val="20"/>
                <w:lang w:val="fr-CH"/>
              </w:rPr>
              <w:t>u</w:t>
            </w:r>
            <w:r w:rsidR="006D4724" w:rsidRPr="001777C7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25(Add.20)</w:t>
            </w:r>
            <w:r w:rsidRPr="001777C7">
              <w:rPr>
                <w:rFonts w:ascii="Verdana" w:eastAsia="SimSun" w:hAnsi="Verdana" w:cs="Traditional Arabic"/>
                <w:b/>
                <w:sz w:val="20"/>
                <w:lang w:val="fr-CH"/>
              </w:rPr>
              <w:t>(Add.</w:t>
            </w: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6</w:t>
            </w:r>
            <w:r w:rsidRPr="001777C7">
              <w:rPr>
                <w:rFonts w:ascii="Verdana" w:eastAsia="SimSun" w:hAnsi="Verdana" w:cs="Traditional Arabic"/>
                <w:b/>
                <w:sz w:val="20"/>
                <w:lang w:val="fr-CH"/>
              </w:rPr>
              <w:t>)</w:t>
            </w:r>
            <w:r w:rsidR="00BB1D82" w:rsidRPr="001777C7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1777C7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0D4404">
        <w:trPr>
          <w:cantSplit/>
        </w:trPr>
        <w:tc>
          <w:tcPr>
            <w:tcW w:w="6521" w:type="dxa"/>
            <w:shd w:val="clear" w:color="auto" w:fill="auto"/>
          </w:tcPr>
          <w:p w:rsidR="00690C7B" w:rsidRPr="001777C7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90C7B" w:rsidRPr="002A6F8F" w:rsidRDefault="004122CE" w:rsidP="00F23A0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8</w:t>
            </w:r>
            <w:r w:rsidR="00F23A0B">
              <w:rPr>
                <w:rFonts w:ascii="Verdana" w:hAnsi="Verdana"/>
                <w:b/>
                <w:sz w:val="20"/>
                <w:lang w:val="en-US"/>
              </w:rPr>
              <w:t xml:space="preserve"> octobre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0D4404">
        <w:trPr>
          <w:cantSplit/>
        </w:trPr>
        <w:tc>
          <w:tcPr>
            <w:tcW w:w="652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:rsidTr="000D4404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0D4404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1777C7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1777C7">
              <w:rPr>
                <w:lang w:val="fr-CH"/>
              </w:rPr>
              <w:t>Propositions communes des Etats arabes</w:t>
            </w:r>
          </w:p>
        </w:tc>
      </w:tr>
      <w:tr w:rsidR="00690C7B" w:rsidRPr="00621E65" w:rsidTr="000D4404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621E65" w:rsidRDefault="00621E65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21E65">
              <w:rPr>
                <w:lang w:val="fr-CH"/>
              </w:rPr>
              <w:t>propositions pour les travaux de la conférence</w:t>
            </w:r>
          </w:p>
        </w:tc>
      </w:tr>
      <w:tr w:rsidR="00690C7B" w:rsidRPr="00621E65" w:rsidTr="000D4404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Pr="00621E65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0D4404">
        <w:trPr>
          <w:gridAfter w:val="1"/>
          <w:wAfter w:w="317" w:type="dxa"/>
          <w:cantSplit/>
        </w:trPr>
        <w:tc>
          <w:tcPr>
            <w:tcW w:w="10031" w:type="dxa"/>
            <w:gridSpan w:val="3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9.1(9.1.6) de l'ordre du jour</w:t>
            </w:r>
          </w:p>
        </w:tc>
      </w:tr>
    </w:tbl>
    <w:bookmarkEnd w:id="5"/>
    <w:p w:rsidR="001C0E40" w:rsidRPr="008945FB" w:rsidRDefault="00973AA6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</w:r>
      <w:r w:rsidRPr="008945FB">
        <w:rPr>
          <w:lang w:val="fr-CA"/>
        </w:rPr>
        <w:t>examiner et approuver le rapport du Directeur du Bureau des radiocommunications, conformément à l'article 7 de la Convention:</w:t>
      </w:r>
    </w:p>
    <w:p w:rsidR="001C0E40" w:rsidRPr="008945FB" w:rsidRDefault="00973AA6" w:rsidP="00D4336F">
      <w:pPr>
        <w:rPr>
          <w:lang w:val="fr-CA"/>
        </w:rPr>
      </w:pPr>
      <w:r w:rsidRPr="008945FB">
        <w:rPr>
          <w:lang w:val="fr-CA"/>
        </w:rPr>
        <w:t>9.1</w:t>
      </w:r>
      <w:r w:rsidRPr="008945FB">
        <w:rPr>
          <w:lang w:val="fr-CA"/>
        </w:rPr>
        <w:tab/>
        <w:t>sur les activités du Secteur des radiocommunications depuis la CMR</w:t>
      </w:r>
      <w:r w:rsidRPr="008945FB">
        <w:rPr>
          <w:lang w:val="fr-CA"/>
        </w:rPr>
        <w:noBreakHyphen/>
        <w:t xml:space="preserve">12; </w:t>
      </w:r>
    </w:p>
    <w:p w:rsidR="001C0E40" w:rsidRDefault="00973AA6" w:rsidP="008F7B44">
      <w:pPr>
        <w:rPr>
          <w:lang w:val="fr-CH"/>
        </w:rPr>
      </w:pPr>
      <w:r w:rsidRPr="008945FB">
        <w:rPr>
          <w:lang w:val="fr-CH"/>
        </w:rPr>
        <w:t xml:space="preserve">9.1(9.1.6) </w:t>
      </w:r>
      <w:r w:rsidRPr="008945FB">
        <w:rPr>
          <w:lang w:val="fr-CH"/>
        </w:rPr>
        <w:tab/>
        <w:t xml:space="preserve">Résolution </w:t>
      </w:r>
      <w:r w:rsidRPr="008945FB">
        <w:rPr>
          <w:b/>
          <w:bCs/>
          <w:lang w:val="fr-CH"/>
        </w:rPr>
        <w:t>957 (CMR-12)</w:t>
      </w:r>
      <w:r w:rsidRPr="008945FB">
        <w:rPr>
          <w:lang w:val="fr-CH"/>
        </w:rPr>
        <w:t xml:space="preserve"> – Etudes en vue de l'examen des définitions des termes service fixe, station fixe et station mobile</w:t>
      </w:r>
    </w:p>
    <w:p w:rsidR="004D0EAC" w:rsidRPr="008945FB" w:rsidRDefault="004D0EAC" w:rsidP="008F7B44">
      <w:pPr>
        <w:rPr>
          <w:lang w:val="fr-CH"/>
        </w:rPr>
      </w:pPr>
    </w:p>
    <w:p w:rsidR="00EC198B" w:rsidRDefault="00EC198B" w:rsidP="00D64683">
      <w:r w:rsidRPr="008945FB">
        <w:t xml:space="preserve">L'UIT-R a mené des études conformément à la Résolution </w:t>
      </w:r>
      <w:r w:rsidRPr="00D64683">
        <w:t>957 (CMR-12).</w:t>
      </w:r>
      <w:r w:rsidRPr="008945FB">
        <w:t xml:space="preserve"> Au cours de cette période d'études, il a été procédé à un examen attentif des définitions des termes </w:t>
      </w:r>
      <w:r w:rsidRPr="008945FB">
        <w:rPr>
          <w:i/>
          <w:iCs/>
        </w:rPr>
        <w:t>service fixe</w:t>
      </w:r>
      <w:r w:rsidRPr="008945FB">
        <w:t xml:space="preserve">, </w:t>
      </w:r>
      <w:r w:rsidRPr="008945FB">
        <w:rPr>
          <w:i/>
          <w:iCs/>
        </w:rPr>
        <w:t>station fixe</w:t>
      </w:r>
      <w:r w:rsidRPr="008945FB">
        <w:t xml:space="preserve"> et </w:t>
      </w:r>
      <w:r w:rsidRPr="008945FB">
        <w:rPr>
          <w:i/>
          <w:iCs/>
        </w:rPr>
        <w:t>station mobile</w:t>
      </w:r>
      <w:r w:rsidRPr="008945FB">
        <w:t>, ainsi qu'à l'étude de l'incidence potentielle sur les procédures réglementaires (coordination, notification et inscription) du Règlement des radioc</w:t>
      </w:r>
      <w:bookmarkStart w:id="6" w:name="_GoBack"/>
      <w:bookmarkEnd w:id="6"/>
      <w:r w:rsidRPr="008945FB">
        <w:t>ommunications (RR) et de l'incidence sur les assignations de fréquence actuelles et les autres services que pourraient avoir les modifications éventuelles des définitions.</w:t>
      </w:r>
    </w:p>
    <w:p w:rsidR="00EC198B" w:rsidRDefault="00EC198B" w:rsidP="00D64683">
      <w:r w:rsidRPr="008945FB">
        <w:t xml:space="preserve">Les études ont abouti à la conclusion que les définitions en vigueur des termes </w:t>
      </w:r>
      <w:r w:rsidRPr="008945FB">
        <w:rPr>
          <w:i/>
          <w:iCs/>
        </w:rPr>
        <w:t>service fixe</w:t>
      </w:r>
      <w:r w:rsidRPr="008945FB">
        <w:t xml:space="preserve">, </w:t>
      </w:r>
      <w:r w:rsidRPr="008945FB">
        <w:rPr>
          <w:i/>
          <w:iCs/>
        </w:rPr>
        <w:t>station fixe</w:t>
      </w:r>
      <w:r w:rsidRPr="008945FB">
        <w:t xml:space="preserve"> et </w:t>
      </w:r>
      <w:r w:rsidRPr="008945FB">
        <w:rPr>
          <w:i/>
          <w:iCs/>
        </w:rPr>
        <w:t>station mobile</w:t>
      </w:r>
      <w:r w:rsidRPr="008945FB">
        <w:t xml:space="preserve"> dans l</w:t>
      </w:r>
      <w:r w:rsidR="00301806">
        <w:t>'</w:t>
      </w:r>
      <w:r w:rsidRPr="008945FB">
        <w:t>Article 1 du Règlement des radiocommunications devraient être conservées, étant donné que ces défi</w:t>
      </w:r>
      <w:r w:rsidR="008945FB">
        <w:t xml:space="preserve">nitions peuvent être adaptées au développement </w:t>
      </w:r>
      <w:r w:rsidRPr="008945FB">
        <w:t>des technologies et que l</w:t>
      </w:r>
      <w:r w:rsidR="00301806">
        <w:t>'</w:t>
      </w:r>
      <w:r w:rsidRPr="008945FB">
        <w:t>actuel RR offre une souplesse suffisante.</w:t>
      </w:r>
    </w:p>
    <w:p w:rsidR="00F23A0B" w:rsidRPr="008945FB" w:rsidRDefault="00F23A0B" w:rsidP="00D64683">
      <w:r w:rsidRPr="00645A88">
        <w:t>En conséquence, les administrations des Etats arabes sont d’avis qu’il ne faut apporter aucune modification au Règlement des radiocommunications et qu’il faut supprimer la Résolution 957 (CMR-12).</w:t>
      </w:r>
    </w:p>
    <w:p w:rsidR="00301806" w:rsidRDefault="00EC198B" w:rsidP="00301806">
      <w:pPr>
        <w:pStyle w:val="Headingb"/>
      </w:pPr>
      <w:r w:rsidRPr="008945FB">
        <w:t>Propositions</w:t>
      </w:r>
    </w:p>
    <w:p w:rsidR="0015203F" w:rsidRPr="008945FB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8945FB">
        <w:rPr>
          <w:b/>
          <w:bCs/>
        </w:rPr>
        <w:br w:type="page"/>
      </w:r>
    </w:p>
    <w:p w:rsidR="004A6A8C" w:rsidRPr="008945FB" w:rsidRDefault="00973AA6" w:rsidP="00D94B99">
      <w:pPr>
        <w:pStyle w:val="ArtNo"/>
      </w:pPr>
      <w:r w:rsidRPr="008945FB">
        <w:lastRenderedPageBreak/>
        <w:t xml:space="preserve">ARTICLE </w:t>
      </w:r>
      <w:r w:rsidRPr="008945FB">
        <w:rPr>
          <w:rStyle w:val="href"/>
          <w:color w:val="000000"/>
        </w:rPr>
        <w:t>1</w:t>
      </w:r>
    </w:p>
    <w:p w:rsidR="004A6A8C" w:rsidRPr="008945FB" w:rsidRDefault="00973AA6" w:rsidP="00D94B99">
      <w:pPr>
        <w:pStyle w:val="Arttitle"/>
      </w:pPr>
      <w:r w:rsidRPr="008945FB">
        <w:t>Termes et définitions</w:t>
      </w:r>
    </w:p>
    <w:p w:rsidR="004A6A8C" w:rsidRPr="008945FB" w:rsidRDefault="00973AA6" w:rsidP="00D94B99">
      <w:pPr>
        <w:pStyle w:val="Section1"/>
      </w:pPr>
      <w:r w:rsidRPr="008945FB">
        <w:t>Section III – Services radioélectriques</w:t>
      </w:r>
    </w:p>
    <w:p w:rsidR="00CB007A" w:rsidRPr="008945FB" w:rsidRDefault="00973AA6">
      <w:pPr>
        <w:pStyle w:val="Proposal"/>
      </w:pPr>
      <w:r w:rsidRPr="008945FB">
        <w:rPr>
          <w:u w:val="single"/>
        </w:rPr>
        <w:t>NOC</w:t>
      </w:r>
      <w:r w:rsidRPr="008945FB">
        <w:tab/>
        <w:t>ARB/25A20A6/1</w:t>
      </w:r>
    </w:p>
    <w:p w:rsidR="004A6A8C" w:rsidRPr="008945FB" w:rsidRDefault="00973AA6" w:rsidP="00D94B99">
      <w:r w:rsidRPr="008945FB">
        <w:rPr>
          <w:rStyle w:val="Artdef"/>
        </w:rPr>
        <w:t>1.20</w:t>
      </w:r>
      <w:r w:rsidRPr="008945FB">
        <w:tab/>
      </w:r>
      <w:r w:rsidRPr="008945FB">
        <w:tab/>
      </w:r>
      <w:r w:rsidRPr="008945FB">
        <w:rPr>
          <w:i/>
          <w:iCs/>
        </w:rPr>
        <w:t>service fixe</w:t>
      </w:r>
      <w:r w:rsidRPr="008945FB">
        <w:t>:  </w:t>
      </w:r>
      <w:r w:rsidRPr="008945FB">
        <w:rPr>
          <w:i/>
          <w:iCs/>
        </w:rPr>
        <w:t>Service de radiocommunication</w:t>
      </w:r>
      <w:r w:rsidRPr="008945FB">
        <w:t xml:space="preserve"> entre points fixes déterminés.</w:t>
      </w:r>
    </w:p>
    <w:p w:rsidR="00CB007A" w:rsidRPr="008945FB" w:rsidRDefault="00CB007A">
      <w:pPr>
        <w:pStyle w:val="Reasons"/>
      </w:pPr>
    </w:p>
    <w:p w:rsidR="004A6A8C" w:rsidRPr="008945FB" w:rsidRDefault="00973AA6" w:rsidP="00D94B99">
      <w:pPr>
        <w:pStyle w:val="Section1"/>
      </w:pPr>
      <w:r w:rsidRPr="008945FB">
        <w:t>Section IV – Stations et systèmes radioélectriques</w:t>
      </w:r>
    </w:p>
    <w:p w:rsidR="00CB007A" w:rsidRPr="008945FB" w:rsidRDefault="00973AA6">
      <w:pPr>
        <w:pStyle w:val="Proposal"/>
      </w:pPr>
      <w:r w:rsidRPr="008945FB">
        <w:rPr>
          <w:u w:val="single"/>
        </w:rPr>
        <w:t>NOC</w:t>
      </w:r>
      <w:r w:rsidRPr="008945FB">
        <w:tab/>
        <w:t>ARB/25A20A6/2</w:t>
      </w:r>
    </w:p>
    <w:p w:rsidR="004A6A8C" w:rsidRPr="008945FB" w:rsidRDefault="00973AA6" w:rsidP="00D94B99">
      <w:r w:rsidRPr="008945FB">
        <w:rPr>
          <w:rStyle w:val="Artdef"/>
        </w:rPr>
        <w:t>1.66</w:t>
      </w:r>
      <w:r w:rsidRPr="008945FB">
        <w:tab/>
      </w:r>
      <w:r w:rsidRPr="008945FB">
        <w:tab/>
      </w:r>
      <w:r w:rsidRPr="008945FB">
        <w:rPr>
          <w:i/>
          <w:iCs/>
        </w:rPr>
        <w:t>station fixe</w:t>
      </w:r>
      <w:r w:rsidRPr="008945FB">
        <w:t>:  </w:t>
      </w:r>
      <w:r w:rsidRPr="008945FB">
        <w:rPr>
          <w:i/>
          <w:iCs/>
        </w:rPr>
        <w:t>Station</w:t>
      </w:r>
      <w:r w:rsidRPr="008945FB">
        <w:t xml:space="preserve"> du </w:t>
      </w:r>
      <w:r w:rsidRPr="008945FB">
        <w:rPr>
          <w:i/>
          <w:iCs/>
        </w:rPr>
        <w:t>service fixe</w:t>
      </w:r>
      <w:r w:rsidRPr="008945FB">
        <w:t>.</w:t>
      </w:r>
    </w:p>
    <w:p w:rsidR="00CB007A" w:rsidRPr="008945FB" w:rsidRDefault="00CB007A">
      <w:pPr>
        <w:pStyle w:val="Reasons"/>
      </w:pPr>
    </w:p>
    <w:p w:rsidR="00CB007A" w:rsidRPr="008945FB" w:rsidRDefault="00973AA6">
      <w:pPr>
        <w:pStyle w:val="Proposal"/>
      </w:pPr>
      <w:r w:rsidRPr="008945FB">
        <w:rPr>
          <w:u w:val="single"/>
        </w:rPr>
        <w:t>NOC</w:t>
      </w:r>
      <w:r w:rsidRPr="008945FB">
        <w:tab/>
        <w:t>ARB/25A20A6/3</w:t>
      </w:r>
    </w:p>
    <w:p w:rsidR="004A6A8C" w:rsidRPr="008945FB" w:rsidRDefault="00973AA6" w:rsidP="00D94B99">
      <w:r w:rsidRPr="008945FB">
        <w:rPr>
          <w:rStyle w:val="Artdef"/>
        </w:rPr>
        <w:t>1.67</w:t>
      </w:r>
      <w:r w:rsidRPr="008945FB">
        <w:tab/>
      </w:r>
      <w:r w:rsidRPr="008945FB">
        <w:tab/>
      </w:r>
      <w:r w:rsidRPr="008945FB">
        <w:rPr>
          <w:i/>
          <w:iCs/>
        </w:rPr>
        <w:t>station mobile</w:t>
      </w:r>
      <w:r w:rsidRPr="008945FB">
        <w:t>:  </w:t>
      </w:r>
      <w:r w:rsidRPr="008945FB">
        <w:rPr>
          <w:i/>
          <w:iCs/>
        </w:rPr>
        <w:t xml:space="preserve">Station </w:t>
      </w:r>
      <w:r w:rsidRPr="008945FB">
        <w:t>du</w:t>
      </w:r>
      <w:r w:rsidRPr="008945FB">
        <w:rPr>
          <w:i/>
          <w:iCs/>
        </w:rPr>
        <w:t xml:space="preserve"> service mobile</w:t>
      </w:r>
      <w:r w:rsidRPr="008945FB">
        <w:t xml:space="preserve"> destinée à être utilisée lorsqu'elle est en mouvement, ou pendant des haltes en des points non déterminés.</w:t>
      </w:r>
    </w:p>
    <w:p w:rsidR="00CB007A" w:rsidRPr="008945FB" w:rsidRDefault="00CB007A">
      <w:pPr>
        <w:pStyle w:val="Reasons"/>
      </w:pPr>
    </w:p>
    <w:p w:rsidR="00CB007A" w:rsidRPr="008945FB" w:rsidRDefault="00973AA6">
      <w:pPr>
        <w:pStyle w:val="Proposal"/>
      </w:pPr>
      <w:r w:rsidRPr="008945FB">
        <w:t>SUP</w:t>
      </w:r>
      <w:r w:rsidRPr="008945FB">
        <w:tab/>
        <w:t>ARB/25A20A6/4</w:t>
      </w:r>
    </w:p>
    <w:p w:rsidR="00DD4258" w:rsidRPr="008945FB" w:rsidRDefault="00973AA6" w:rsidP="00DD4258">
      <w:pPr>
        <w:pStyle w:val="ResNo"/>
      </w:pPr>
      <w:r w:rsidRPr="008945FB">
        <w:t xml:space="preserve">RÉSOLUTION </w:t>
      </w:r>
      <w:r w:rsidRPr="008945FB">
        <w:rPr>
          <w:rStyle w:val="href"/>
        </w:rPr>
        <w:t>957</w:t>
      </w:r>
      <w:r w:rsidRPr="008945FB">
        <w:t xml:space="preserve"> (CMR-12)</w:t>
      </w:r>
    </w:p>
    <w:p w:rsidR="00DD4258" w:rsidRPr="009C7CEE" w:rsidRDefault="00973AA6" w:rsidP="00AC1F0E">
      <w:pPr>
        <w:pStyle w:val="Restitle"/>
      </w:pPr>
      <w:r w:rsidRPr="008945FB">
        <w:t xml:space="preserve">Etudes en vue de l'examen des définitions des termes </w:t>
      </w:r>
      <w:r w:rsidRPr="008945FB">
        <w:rPr>
          <w:i/>
          <w:iCs/>
        </w:rPr>
        <w:t>service fixe</w:t>
      </w:r>
      <w:r w:rsidRPr="008945FB">
        <w:t xml:space="preserve">, </w:t>
      </w:r>
      <w:r w:rsidRPr="008945FB">
        <w:br/>
      </w:r>
      <w:r w:rsidRPr="008945FB">
        <w:rPr>
          <w:i/>
          <w:iCs/>
        </w:rPr>
        <w:t>station fixe</w:t>
      </w:r>
      <w:r w:rsidRPr="008945FB">
        <w:t xml:space="preserve"> et </w:t>
      </w:r>
      <w:r w:rsidRPr="008945FB">
        <w:rPr>
          <w:i/>
          <w:iCs/>
        </w:rPr>
        <w:t>station mobile</w:t>
      </w:r>
    </w:p>
    <w:p w:rsidR="00CB007A" w:rsidRDefault="00973AA6" w:rsidP="00643884">
      <w:pPr>
        <w:pStyle w:val="Reasons"/>
      </w:pPr>
      <w:r>
        <w:rPr>
          <w:b/>
        </w:rPr>
        <w:t>Motifs:</w:t>
      </w:r>
      <w:r>
        <w:tab/>
      </w:r>
      <w:r w:rsidR="00B838DD">
        <w:t xml:space="preserve">Cette </w:t>
      </w:r>
      <w:r w:rsidR="00643884">
        <w:t>R</w:t>
      </w:r>
      <w:r w:rsidR="00B838DD">
        <w:t>ésolution n</w:t>
      </w:r>
      <w:r w:rsidR="00301806">
        <w:t>'</w:t>
      </w:r>
      <w:r w:rsidR="00B838DD">
        <w:t>est pas nécessaire.</w:t>
      </w:r>
    </w:p>
    <w:p w:rsidR="00D64683" w:rsidRDefault="00D64683" w:rsidP="00D64683"/>
    <w:p w:rsidR="00D64683" w:rsidRDefault="00D64683" w:rsidP="0032202E">
      <w:pPr>
        <w:pStyle w:val="Reasons"/>
      </w:pPr>
    </w:p>
    <w:p w:rsidR="00D64683" w:rsidRDefault="00D64683">
      <w:pPr>
        <w:jc w:val="center"/>
      </w:pPr>
      <w:r>
        <w:t>______________</w:t>
      </w:r>
    </w:p>
    <w:p w:rsidR="00D64683" w:rsidRDefault="00D64683" w:rsidP="00D64683"/>
    <w:sectPr w:rsidR="00D6468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A6" w:rsidRDefault="00973AA6">
      <w:r>
        <w:separator/>
      </w:r>
    </w:p>
  </w:endnote>
  <w:endnote w:type="continuationSeparator" w:id="0">
    <w:p w:rsidR="00973AA6" w:rsidRDefault="009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0D99">
      <w:rPr>
        <w:noProof/>
        <w:lang w:val="en-US"/>
      </w:rPr>
      <w:t>P:\FRA\ITU-R\CONF-R\CMR15\000\025ADD20ADD06REV1F.docx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0D99">
      <w:rPr>
        <w:noProof/>
      </w:rPr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0D99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0D99">
      <w:rPr>
        <w:lang w:val="en-US"/>
      </w:rPr>
      <w:t>P:\FRA\ITU-R\CONF-R\CMR15\000\025ADD20ADD06REV1F.docx</w:t>
    </w:r>
    <w:r>
      <w:fldChar w:fldCharType="end"/>
    </w:r>
    <w:r w:rsidR="00301806" w:rsidRPr="00F23A0B">
      <w:rPr>
        <w:lang w:val="en-US"/>
      </w:rPr>
      <w:t xml:space="preserve"> (386918)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0D99"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0D99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0D99">
      <w:rPr>
        <w:lang w:val="en-US"/>
      </w:rPr>
      <w:t>P:\FRA\ITU-R\CONF-R\CMR15\000\025ADD20ADD06REV1F.docx</w:t>
    </w:r>
    <w:r>
      <w:fldChar w:fldCharType="end"/>
    </w:r>
    <w:r w:rsidR="00301806" w:rsidRPr="00F23A0B">
      <w:rPr>
        <w:lang w:val="en-US"/>
      </w:rPr>
      <w:t xml:space="preserve"> (386918)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0D99"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0D99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A6" w:rsidRDefault="00973AA6">
      <w:r>
        <w:rPr>
          <w:b/>
        </w:rPr>
        <w:t>_______________</w:t>
      </w:r>
    </w:p>
  </w:footnote>
  <w:footnote w:type="continuationSeparator" w:id="0">
    <w:p w:rsidR="00973AA6" w:rsidRDefault="0097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80D9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25(Add.20)(Add.6)</w:t>
    </w:r>
    <w:r w:rsidR="00A51B86">
      <w:rPr>
        <w:lang w:val="fr-CH"/>
      </w:rPr>
      <w:t>(Rév.1)</w:t>
    </w:r>
    <w:r w:rsidR="006A4B45">
      <w:t>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1740"/>
    <w:rsid w:val="00007EC7"/>
    <w:rsid w:val="00010B43"/>
    <w:rsid w:val="00016648"/>
    <w:rsid w:val="0003522F"/>
    <w:rsid w:val="00080E2C"/>
    <w:rsid w:val="000A4755"/>
    <w:rsid w:val="000B2E0C"/>
    <w:rsid w:val="000B3D0C"/>
    <w:rsid w:val="000D4404"/>
    <w:rsid w:val="001167B9"/>
    <w:rsid w:val="001267A0"/>
    <w:rsid w:val="0015203F"/>
    <w:rsid w:val="00160C64"/>
    <w:rsid w:val="001777C7"/>
    <w:rsid w:val="0018169B"/>
    <w:rsid w:val="0019352B"/>
    <w:rsid w:val="001960D0"/>
    <w:rsid w:val="001F17E8"/>
    <w:rsid w:val="00204306"/>
    <w:rsid w:val="00232FD2"/>
    <w:rsid w:val="0026554E"/>
    <w:rsid w:val="002A3C3C"/>
    <w:rsid w:val="002A4622"/>
    <w:rsid w:val="002A6F8F"/>
    <w:rsid w:val="002B17E5"/>
    <w:rsid w:val="002C0EBF"/>
    <w:rsid w:val="002C28A4"/>
    <w:rsid w:val="00301806"/>
    <w:rsid w:val="00315AFE"/>
    <w:rsid w:val="003606A6"/>
    <w:rsid w:val="0036650C"/>
    <w:rsid w:val="00393ACD"/>
    <w:rsid w:val="003A583E"/>
    <w:rsid w:val="003E112B"/>
    <w:rsid w:val="003E1D1C"/>
    <w:rsid w:val="003E7B05"/>
    <w:rsid w:val="004122CE"/>
    <w:rsid w:val="00466211"/>
    <w:rsid w:val="004834A9"/>
    <w:rsid w:val="004D01FC"/>
    <w:rsid w:val="004D0EAC"/>
    <w:rsid w:val="004E28C3"/>
    <w:rsid w:val="004F1F8E"/>
    <w:rsid w:val="00512A32"/>
    <w:rsid w:val="00586CF2"/>
    <w:rsid w:val="005C3768"/>
    <w:rsid w:val="005C6C3F"/>
    <w:rsid w:val="00613635"/>
    <w:rsid w:val="0062093D"/>
    <w:rsid w:val="00621E65"/>
    <w:rsid w:val="00637ECF"/>
    <w:rsid w:val="00643884"/>
    <w:rsid w:val="00647B59"/>
    <w:rsid w:val="006607AD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251CF"/>
    <w:rsid w:val="00843931"/>
    <w:rsid w:val="00851625"/>
    <w:rsid w:val="00863C0A"/>
    <w:rsid w:val="008945FB"/>
    <w:rsid w:val="008A3120"/>
    <w:rsid w:val="008B357C"/>
    <w:rsid w:val="008D41BE"/>
    <w:rsid w:val="008D58D3"/>
    <w:rsid w:val="00923064"/>
    <w:rsid w:val="00930FFD"/>
    <w:rsid w:val="00936D25"/>
    <w:rsid w:val="00941EA5"/>
    <w:rsid w:val="00964700"/>
    <w:rsid w:val="00966C16"/>
    <w:rsid w:val="00973AA6"/>
    <w:rsid w:val="0098732F"/>
    <w:rsid w:val="009A045F"/>
    <w:rsid w:val="009C7E7C"/>
    <w:rsid w:val="00A00473"/>
    <w:rsid w:val="00A03C9B"/>
    <w:rsid w:val="00A37105"/>
    <w:rsid w:val="00A51B86"/>
    <w:rsid w:val="00A606C3"/>
    <w:rsid w:val="00A80D99"/>
    <w:rsid w:val="00A83B09"/>
    <w:rsid w:val="00A84541"/>
    <w:rsid w:val="00A93034"/>
    <w:rsid w:val="00AE36A0"/>
    <w:rsid w:val="00B00294"/>
    <w:rsid w:val="00B64FD0"/>
    <w:rsid w:val="00B838DD"/>
    <w:rsid w:val="00BA5BD0"/>
    <w:rsid w:val="00BB1D82"/>
    <w:rsid w:val="00BF26E7"/>
    <w:rsid w:val="00C53FCA"/>
    <w:rsid w:val="00C76BAF"/>
    <w:rsid w:val="00C814B9"/>
    <w:rsid w:val="00CB007A"/>
    <w:rsid w:val="00CD516F"/>
    <w:rsid w:val="00D119A7"/>
    <w:rsid w:val="00D25FBA"/>
    <w:rsid w:val="00D32B28"/>
    <w:rsid w:val="00D42954"/>
    <w:rsid w:val="00D64683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198B"/>
    <w:rsid w:val="00EC7615"/>
    <w:rsid w:val="00ED16AA"/>
    <w:rsid w:val="00ED6241"/>
    <w:rsid w:val="00EF662E"/>
    <w:rsid w:val="00F148F1"/>
    <w:rsid w:val="00F23A0B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C6AA0FF-0E24-4C16-B32E-3873F4A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R15-WRC15-C-0025!A20-A6!MSW-F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DCCC3-F813-4926-8EF2-7F6E7776E52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32a1a8c5-2265-4ebc-b7a0-2071e2c5c9bb"/>
    <ds:schemaRef ds:uri="996b2e75-67fd-4955-a3b0-5ab9934cb5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2080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R15-WRC15-C-0025!A20-A6!MSW-F</vt:lpstr>
    </vt:vector>
  </TitlesOfParts>
  <Manager>Secrétariat général - Pool</Manager>
  <Company>Union internationale des télécommunications (UIT)</Company>
  <LinksUpToDate>false</LinksUpToDate>
  <CharactersWithSpaces>2399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R15-WRC15-C-0025!A20-A6!MSW-F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14</cp:revision>
  <cp:lastPrinted>2015-10-16T21:07:00Z</cp:lastPrinted>
  <dcterms:created xsi:type="dcterms:W3CDTF">2015-10-13T11:17:00Z</dcterms:created>
  <dcterms:modified xsi:type="dcterms:W3CDTF">2015-10-16T21:07:00Z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