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5"/>
        <w:gridCol w:w="3176"/>
      </w:tblGrid>
      <w:tr w:rsidR="0090121B" w:rsidRPr="0002785D" w:rsidTr="00F90DD7">
        <w:trPr>
          <w:cantSplit/>
        </w:trPr>
        <w:tc>
          <w:tcPr>
            <w:tcW w:w="6855" w:type="dxa"/>
          </w:tcPr>
          <w:p w:rsidR="0090121B" w:rsidRPr="00F90DD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76" w:type="dxa"/>
          </w:tcPr>
          <w:p w:rsidR="0090121B" w:rsidRPr="0002785D" w:rsidRDefault="00CE7431" w:rsidP="00EA2AF7">
            <w:pPr>
              <w:bidi/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05477FE" wp14:editId="338C06C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F90DD7">
        <w:trPr>
          <w:cantSplit/>
        </w:trPr>
        <w:tc>
          <w:tcPr>
            <w:tcW w:w="6855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76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F90DD7">
        <w:trPr>
          <w:cantSplit/>
        </w:trPr>
        <w:tc>
          <w:tcPr>
            <w:tcW w:w="6855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F90DD7">
        <w:trPr>
          <w:cantSplit/>
        </w:trPr>
        <w:tc>
          <w:tcPr>
            <w:tcW w:w="6855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76" w:type="dxa"/>
            <w:shd w:val="clear" w:color="auto" w:fill="auto"/>
          </w:tcPr>
          <w:p w:rsidR="0090121B" w:rsidRPr="00F90DD7" w:rsidRDefault="0022212D" w:rsidP="0022212D">
            <w:pPr>
              <w:spacing w:before="0"/>
              <w:rPr>
                <w:rFonts w:ascii="Verdana" w:hAnsi="Verdana"/>
                <w:sz w:val="20"/>
              </w:rPr>
            </w:pPr>
            <w:r w:rsidRPr="0022212D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22212D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F90DD7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="00AE658F" w:rsidRPr="00F90DD7">
              <w:rPr>
                <w:rFonts w:ascii="Verdana" w:eastAsia="SimSun" w:hAnsi="Verdana" w:cs="Traditional Arabic"/>
                <w:b/>
                <w:sz w:val="20"/>
              </w:rPr>
              <w:br/>
              <w:t>Documento 25(Add.20)</w:t>
            </w:r>
            <w:r w:rsidR="0090121B" w:rsidRPr="00F90DD7">
              <w:rPr>
                <w:rFonts w:ascii="Verdana" w:hAnsi="Verdana"/>
                <w:b/>
                <w:sz w:val="20"/>
              </w:rPr>
              <w:t>-</w:t>
            </w:r>
            <w:r w:rsidR="00AE658F" w:rsidRPr="00F90DD7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6B0BB8">
        <w:trPr>
          <w:cantSplit/>
        </w:trPr>
        <w:tc>
          <w:tcPr>
            <w:tcW w:w="6855" w:type="dxa"/>
            <w:shd w:val="clear" w:color="auto" w:fill="auto"/>
          </w:tcPr>
          <w:p w:rsidR="000A5B9A" w:rsidRPr="00F90DD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0A5B9A" w:rsidRPr="0022212D" w:rsidRDefault="0022212D" w:rsidP="0022212D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</w:t>
            </w:r>
            <w:r w:rsidR="000A5B9A" w:rsidRPr="0022212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0A5B9A" w:rsidRPr="0022212D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02785D" w:rsidTr="006B0BB8">
        <w:trPr>
          <w:cantSplit/>
        </w:trPr>
        <w:tc>
          <w:tcPr>
            <w:tcW w:w="6855" w:type="dxa"/>
          </w:tcPr>
          <w:p w:rsidR="000A5B9A" w:rsidRPr="0022212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6" w:type="dxa"/>
            <w:vAlign w:val="center"/>
          </w:tcPr>
          <w:p w:rsidR="000A5B9A" w:rsidRPr="0022212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2212D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22212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0DD7" w:rsidRDefault="000A5B9A" w:rsidP="000A5B9A">
            <w:pPr>
              <w:pStyle w:val="Source"/>
            </w:pPr>
            <w:bookmarkStart w:id="2" w:name="dsource" w:colFirst="0" w:colLast="0"/>
            <w:r w:rsidRPr="00F90DD7">
              <w:t>Propuestas Comunes de los Estados Árabes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0DD7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F90DD7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0DD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9.1(9.1.6) del orden del día</w:t>
            </w:r>
          </w:p>
        </w:tc>
      </w:tr>
    </w:tbl>
    <w:bookmarkEnd w:id="5"/>
    <w:p w:rsidR="006C20F8" w:rsidRPr="00211854" w:rsidRDefault="00DA4629" w:rsidP="00783EBB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DA4629" w:rsidP="00783EBB">
      <w:r w:rsidRPr="00211854">
        <w:t>9.1</w:t>
      </w:r>
      <w:r w:rsidRPr="00211854">
        <w:tab/>
        <w:t>sobre las actividades del Sector de Radiocomunicaciones desde la CMR-12;</w:t>
      </w:r>
    </w:p>
    <w:p w:rsidR="001C0E40" w:rsidRPr="003327CA" w:rsidRDefault="00DA4629" w:rsidP="00783EBB">
      <w:r>
        <w:t xml:space="preserve">9.1(9.1.6) </w:t>
      </w:r>
      <w:r>
        <w:tab/>
      </w:r>
      <w:r w:rsidRPr="00A064AD">
        <w:t xml:space="preserve">Resolución </w:t>
      </w:r>
      <w:r w:rsidRPr="00D53641">
        <w:rPr>
          <w:b/>
          <w:bCs/>
        </w:rPr>
        <w:t>957 (CMR-12)</w:t>
      </w:r>
      <w:r w:rsidRPr="00A064AD">
        <w:t xml:space="preserve"> </w:t>
      </w:r>
      <w:r w:rsidR="000630AC">
        <w:t>–</w:t>
      </w:r>
      <w:r w:rsidRPr="00A064AD">
        <w:t xml:space="preserve"> Estudios para revisar las definiciones de servicio fijo, estación fija y estación móvil</w:t>
      </w:r>
    </w:p>
    <w:p w:rsidR="00363A65" w:rsidRDefault="00363A65" w:rsidP="000630AC">
      <w:pPr>
        <w:pStyle w:val="Headingb"/>
      </w:pPr>
    </w:p>
    <w:p w:rsidR="005077CD" w:rsidRPr="00BF454D" w:rsidRDefault="005077CD" w:rsidP="000630AC">
      <w:pPr>
        <w:rPr>
          <w:lang w:eastAsia="zh-CN"/>
        </w:rPr>
      </w:pPr>
      <w:r>
        <w:rPr>
          <w:lang w:eastAsia="zh-CN"/>
        </w:rPr>
        <w:t xml:space="preserve">El UIT-R llevó a cabo diversos estudios de conformidad con la Resolución </w:t>
      </w:r>
      <w:r w:rsidRPr="005077CD">
        <w:rPr>
          <w:lang w:eastAsia="zh-CN"/>
        </w:rPr>
        <w:t>957 (CMR-12)</w:t>
      </w:r>
      <w:r>
        <w:rPr>
          <w:lang w:eastAsia="zh-CN"/>
        </w:rPr>
        <w:t xml:space="preserve">. Durante este periodo de estudios, se han examinado detalladamente las definiciones de </w:t>
      </w:r>
      <w:r w:rsidRPr="00744048">
        <w:rPr>
          <w:i/>
          <w:iCs/>
          <w:lang w:eastAsia="zh-CN"/>
        </w:rPr>
        <w:t>servicio fijo</w:t>
      </w:r>
      <w:r>
        <w:rPr>
          <w:lang w:eastAsia="zh-CN"/>
        </w:rPr>
        <w:t xml:space="preserve">, </w:t>
      </w:r>
      <w:r w:rsidRPr="00BF454D">
        <w:rPr>
          <w:i/>
          <w:iCs/>
          <w:lang w:eastAsia="zh-CN"/>
        </w:rPr>
        <w:t>estación fija</w:t>
      </w:r>
      <w:r>
        <w:rPr>
          <w:lang w:eastAsia="zh-CN"/>
        </w:rPr>
        <w:t xml:space="preserve"> y </w:t>
      </w:r>
      <w:r w:rsidRPr="00BF454D">
        <w:rPr>
          <w:i/>
          <w:iCs/>
          <w:lang w:eastAsia="zh-CN"/>
        </w:rPr>
        <w:t>estación móvil</w:t>
      </w:r>
      <w:r>
        <w:rPr>
          <w:lang w:eastAsia="zh-CN"/>
        </w:rPr>
        <w:t>, y se han estudiado las posibles consecuencias para los procedimientos reglamentarios del Reglamento de Radiocomunicaciones (coordinación, notificación e inscripción) y las consecuencias a l</w:t>
      </w:r>
      <w:r w:rsidR="000630AC">
        <w:rPr>
          <w:lang w:eastAsia="zh-CN"/>
        </w:rPr>
        <w:t>a</w:t>
      </w:r>
      <w:r>
        <w:rPr>
          <w:lang w:eastAsia="zh-CN"/>
        </w:rPr>
        <w:t>s que podrían dar lugar los posibles cambios de las definiciones</w:t>
      </w:r>
      <w:r w:rsidR="000630AC">
        <w:rPr>
          <w:lang w:eastAsia="zh-CN"/>
        </w:rPr>
        <w:t xml:space="preserve"> para las actuales asignaciones de frecuencias y otros servicios</w:t>
      </w:r>
      <w:r>
        <w:rPr>
          <w:lang w:eastAsia="zh-CN"/>
        </w:rPr>
        <w:t>.</w:t>
      </w:r>
    </w:p>
    <w:p w:rsidR="00F90DD7" w:rsidRDefault="000630AC" w:rsidP="000630AC">
      <w:pPr>
        <w:rPr>
          <w:iCs/>
        </w:rPr>
      </w:pPr>
      <w:r w:rsidRPr="000630AC">
        <w:t xml:space="preserve">Los estudios llegaron a la conclusión de que deben conservarse las actuales definiciones de </w:t>
      </w:r>
      <w:r w:rsidRPr="000630AC">
        <w:rPr>
          <w:i/>
        </w:rPr>
        <w:t>servicio fijo</w:t>
      </w:r>
      <w:r w:rsidR="00F90DD7" w:rsidRPr="000630AC">
        <w:rPr>
          <w:iCs/>
        </w:rPr>
        <w:t>,</w:t>
      </w:r>
      <w:r w:rsidR="00F90DD7" w:rsidRPr="000630AC">
        <w:rPr>
          <w:i/>
        </w:rPr>
        <w:t xml:space="preserve"> </w:t>
      </w:r>
      <w:r w:rsidRPr="000630AC">
        <w:rPr>
          <w:i/>
        </w:rPr>
        <w:t xml:space="preserve">estación </w:t>
      </w:r>
      <w:r w:rsidR="00681C44" w:rsidRPr="00681C44">
        <w:rPr>
          <w:i/>
        </w:rPr>
        <w:t>fija</w:t>
      </w:r>
      <w:r w:rsidRPr="000630AC">
        <w:rPr>
          <w:iCs/>
        </w:rPr>
        <w:t xml:space="preserve"> y </w:t>
      </w:r>
      <w:r w:rsidRPr="000630AC">
        <w:rPr>
          <w:i/>
        </w:rPr>
        <w:t xml:space="preserve">estación </w:t>
      </w:r>
      <w:r w:rsidRPr="000630AC">
        <w:rPr>
          <w:iCs/>
        </w:rPr>
        <w:t>móvil del Artículo 1 del Reglamento de Radiocomunicaciones, dado que dichas definiciones pueden adaptarse a la evoluci</w:t>
      </w:r>
      <w:r>
        <w:rPr>
          <w:iCs/>
        </w:rPr>
        <w:t>ón de la tecnología y que existe suficiente flexibilidad en el actual Reglamento de Radiocomunicaciones.</w:t>
      </w:r>
    </w:p>
    <w:p w:rsidR="000630AC" w:rsidRPr="000630AC" w:rsidRDefault="0022212D" w:rsidP="0022212D">
      <w:r>
        <w:rPr>
          <w:iCs/>
        </w:rPr>
        <w:t>Por consiguiente</w:t>
      </w:r>
      <w:r w:rsidR="000630AC">
        <w:rPr>
          <w:iCs/>
        </w:rPr>
        <w:t xml:space="preserve">, las </w:t>
      </w:r>
      <w:r w:rsidR="009E0EF1">
        <w:rPr>
          <w:iCs/>
        </w:rPr>
        <w:t>A</w:t>
      </w:r>
      <w:r w:rsidR="000630AC">
        <w:rPr>
          <w:iCs/>
        </w:rPr>
        <w:t xml:space="preserve">dministraciones de los Estados Árabes apoyan que no se introduzcan cambios </w:t>
      </w:r>
      <w:r>
        <w:rPr>
          <w:iCs/>
        </w:rPr>
        <w:t>a</w:t>
      </w:r>
      <w:r w:rsidR="000630AC">
        <w:rPr>
          <w:iCs/>
        </w:rPr>
        <w:t xml:space="preserve">l Reglamento de Radiocomunicaciones y </w:t>
      </w:r>
      <w:r>
        <w:rPr>
          <w:iCs/>
        </w:rPr>
        <w:t>la supresión de</w:t>
      </w:r>
      <w:r w:rsidR="000630AC">
        <w:rPr>
          <w:iCs/>
        </w:rPr>
        <w:t xml:space="preserve"> la Resolución 957 (CMR-12).</w:t>
      </w:r>
    </w:p>
    <w:p w:rsidR="00F90DD7" w:rsidRPr="000630AC" w:rsidRDefault="00F90DD7" w:rsidP="00F90DD7">
      <w:pPr>
        <w:pStyle w:val="Headingb"/>
      </w:pPr>
      <w:r w:rsidRPr="000630AC"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DA4629" w:rsidP="008964C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</w:t>
      </w:r>
    </w:p>
    <w:p w:rsidR="00F008F3" w:rsidRPr="00245062" w:rsidRDefault="00DA4629" w:rsidP="00D44B91">
      <w:pPr>
        <w:pStyle w:val="Arttitle"/>
      </w:pPr>
      <w:r w:rsidRPr="00245062">
        <w:t>Términos y definiciones</w:t>
      </w:r>
    </w:p>
    <w:p w:rsidR="00F008F3" w:rsidRPr="00245062" w:rsidRDefault="00DA4629" w:rsidP="00C070E9">
      <w:pPr>
        <w:pStyle w:val="Section1"/>
      </w:pPr>
      <w:r w:rsidRPr="00245062">
        <w:t>Sección III – Servicios radioeléctricos</w:t>
      </w:r>
    </w:p>
    <w:p w:rsidR="0070055D" w:rsidRDefault="00DA4629" w:rsidP="00140658">
      <w:pPr>
        <w:pStyle w:val="Proposal"/>
      </w:pPr>
      <w:r>
        <w:rPr>
          <w:u w:val="single"/>
        </w:rPr>
        <w:t>NOC</w:t>
      </w:r>
      <w:r>
        <w:tab/>
        <w:t>ARB/25A20A6/1</w:t>
      </w:r>
    </w:p>
    <w:p w:rsidR="00F008F3" w:rsidRPr="00D8690E" w:rsidRDefault="00DA4629" w:rsidP="009E0EF1">
      <w:r w:rsidRPr="00D07895">
        <w:rPr>
          <w:rStyle w:val="Artdef"/>
        </w:rPr>
        <w:t>1.20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servicio fijo:  Servicio de radiocomunicación</w:t>
      </w:r>
      <w:r w:rsidRPr="00D8690E">
        <w:t xml:space="preserve"> entre puntos fijos determinados.</w:t>
      </w:r>
    </w:p>
    <w:p w:rsidR="0070055D" w:rsidRDefault="0070055D" w:rsidP="009E0EF1">
      <w:pPr>
        <w:pStyle w:val="Reasons"/>
      </w:pPr>
    </w:p>
    <w:p w:rsidR="00F008F3" w:rsidRPr="00245062" w:rsidRDefault="00DA4629" w:rsidP="009E0EF1">
      <w:pPr>
        <w:pStyle w:val="Section1"/>
      </w:pPr>
      <w:r w:rsidRPr="00245062">
        <w:t>Sección IV – Estaciones y sistemas radioeléctricos</w:t>
      </w:r>
    </w:p>
    <w:p w:rsidR="0070055D" w:rsidRDefault="00DA4629" w:rsidP="009E0EF1">
      <w:pPr>
        <w:pStyle w:val="Proposal"/>
      </w:pPr>
      <w:r>
        <w:rPr>
          <w:u w:val="single"/>
        </w:rPr>
        <w:t>NOC</w:t>
      </w:r>
      <w:r>
        <w:tab/>
        <w:t>ARB/25A20A6/2</w:t>
      </w:r>
    </w:p>
    <w:p w:rsidR="00F008F3" w:rsidRPr="00245062" w:rsidRDefault="00DA4629" w:rsidP="009E0EF1">
      <w:pPr>
        <w:keepNext/>
        <w:keepLines/>
        <w:rPr>
          <w:i/>
          <w:color w:val="000000"/>
        </w:rPr>
      </w:pPr>
      <w:r w:rsidRPr="00D07895">
        <w:rPr>
          <w:rStyle w:val="Artdef"/>
        </w:rPr>
        <w:t>1.66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estación fija:  Estación</w:t>
      </w:r>
      <w:r w:rsidRPr="00D8690E">
        <w:t xml:space="preserve"> del</w:t>
      </w:r>
      <w:r w:rsidRPr="00245062">
        <w:rPr>
          <w:i/>
          <w:color w:val="000000"/>
        </w:rPr>
        <w:t xml:space="preserve"> servicio fijo.</w:t>
      </w:r>
    </w:p>
    <w:p w:rsidR="0070055D" w:rsidRDefault="0070055D" w:rsidP="009E0EF1">
      <w:pPr>
        <w:pStyle w:val="Reasons"/>
      </w:pPr>
    </w:p>
    <w:p w:rsidR="0070055D" w:rsidRDefault="00DA4629" w:rsidP="009E0EF1">
      <w:pPr>
        <w:pStyle w:val="Proposal"/>
      </w:pPr>
      <w:r>
        <w:rPr>
          <w:u w:val="single"/>
        </w:rPr>
        <w:t>NOC</w:t>
      </w:r>
      <w:r>
        <w:tab/>
        <w:t>ARB/25A20A6/3</w:t>
      </w:r>
    </w:p>
    <w:p w:rsidR="00F008F3" w:rsidRPr="00D8690E" w:rsidRDefault="00DA4629" w:rsidP="009E0EF1">
      <w:r w:rsidRPr="00D07895">
        <w:rPr>
          <w:rStyle w:val="Artdef"/>
        </w:rPr>
        <w:t>1.67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estación móvil:  Estación</w:t>
      </w:r>
      <w:r w:rsidRPr="00D8690E">
        <w:t xml:space="preserve"> del</w:t>
      </w:r>
      <w:r w:rsidRPr="00245062">
        <w:rPr>
          <w:i/>
          <w:color w:val="000000"/>
        </w:rPr>
        <w:t xml:space="preserve"> servicio móvil</w:t>
      </w:r>
      <w:r w:rsidRPr="00D8690E">
        <w:t xml:space="preserve"> destinada a ser utilizada en movimiento o mientras esté detenida en puntos no determinados.</w:t>
      </w:r>
    </w:p>
    <w:p w:rsidR="0070055D" w:rsidRDefault="0070055D" w:rsidP="009E0EF1">
      <w:pPr>
        <w:pStyle w:val="Reasons"/>
      </w:pPr>
    </w:p>
    <w:p w:rsidR="0070055D" w:rsidRDefault="00DA4629" w:rsidP="009E0EF1">
      <w:pPr>
        <w:pStyle w:val="Proposal"/>
      </w:pPr>
      <w:r>
        <w:t>SUP</w:t>
      </w:r>
      <w:r>
        <w:tab/>
        <w:t>ARB/25A20A6/4</w:t>
      </w:r>
    </w:p>
    <w:p w:rsidR="009E7ADB" w:rsidRPr="00D14182" w:rsidRDefault="00DA4629" w:rsidP="009E0EF1">
      <w:pPr>
        <w:pStyle w:val="ResNo"/>
      </w:pPr>
      <w:bookmarkStart w:id="6" w:name="_Toc328141517"/>
      <w:r w:rsidRPr="00D14182">
        <w:t>RE</w:t>
      </w:r>
      <w:bookmarkStart w:id="7" w:name="_GoBack"/>
      <w:bookmarkEnd w:id="7"/>
      <w:r w:rsidRPr="00D14182">
        <w:t xml:space="preserve">SOLUCIÓN </w:t>
      </w:r>
      <w:r w:rsidRPr="00D14182">
        <w:rPr>
          <w:rStyle w:val="href"/>
        </w:rPr>
        <w:t>957</w:t>
      </w:r>
      <w:r>
        <w:t xml:space="preserve"> </w:t>
      </w:r>
      <w:r w:rsidRPr="00D14182">
        <w:t>(CMR-12)</w:t>
      </w:r>
      <w:bookmarkEnd w:id="6"/>
    </w:p>
    <w:p w:rsidR="009E7ADB" w:rsidRPr="00D14182" w:rsidRDefault="00DA4629" w:rsidP="009E0EF1">
      <w:pPr>
        <w:pStyle w:val="Restitle"/>
        <w:rPr>
          <w:b w:val="0"/>
        </w:rPr>
      </w:pPr>
      <w:bookmarkStart w:id="8" w:name="_Toc328141518"/>
      <w:r w:rsidRPr="00D14182">
        <w:t>Estudios para revisar las definiciones de servicio fijo,</w:t>
      </w:r>
      <w:r w:rsidRPr="00D14182">
        <w:br/>
      </w:r>
      <w:r w:rsidRPr="00D14182">
        <w:rPr>
          <w:rFonts w:ascii="Times New Roman"/>
          <w:bCs/>
          <w:i/>
        </w:rPr>
        <w:t>estaci</w:t>
      </w:r>
      <w:r w:rsidRPr="00D14182">
        <w:rPr>
          <w:rFonts w:ascii="Times New Roman"/>
          <w:bCs/>
          <w:i/>
        </w:rPr>
        <w:t>ó</w:t>
      </w:r>
      <w:r w:rsidRPr="00D14182">
        <w:rPr>
          <w:rFonts w:ascii="Times New Roman"/>
          <w:bCs/>
          <w:i/>
        </w:rPr>
        <w:t xml:space="preserve">n fija </w:t>
      </w:r>
      <w:r w:rsidRPr="00D14182">
        <w:t xml:space="preserve">y </w:t>
      </w:r>
      <w:r w:rsidRPr="00D14182">
        <w:rPr>
          <w:rFonts w:ascii="Times New Roman"/>
          <w:bCs/>
          <w:i/>
          <w:iCs/>
        </w:rPr>
        <w:t>estaci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n m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vil</w:t>
      </w:r>
      <w:bookmarkEnd w:id="8"/>
    </w:p>
    <w:p w:rsidR="0070055D" w:rsidRPr="009E0EF1" w:rsidRDefault="00DA4629" w:rsidP="009E0EF1">
      <w:pPr>
        <w:pStyle w:val="Reasons"/>
      </w:pPr>
      <w:r w:rsidRPr="009E0EF1">
        <w:rPr>
          <w:b/>
        </w:rPr>
        <w:t>Motivos:</w:t>
      </w:r>
      <w:r w:rsidRPr="009E0EF1">
        <w:tab/>
      </w:r>
      <w:r w:rsidR="009E0EF1" w:rsidRPr="009E0EF1">
        <w:t>Esta Resolución no es necesaria.</w:t>
      </w:r>
    </w:p>
    <w:p w:rsidR="00F90DD7" w:rsidRPr="009E0EF1" w:rsidRDefault="00F90DD7" w:rsidP="009E0EF1">
      <w:pPr>
        <w:pStyle w:val="Reasons"/>
      </w:pPr>
    </w:p>
    <w:p w:rsidR="0096779B" w:rsidRDefault="0096779B" w:rsidP="0096779B"/>
    <w:p w:rsidR="00F90DD7" w:rsidRDefault="00F90DD7" w:rsidP="009E0EF1">
      <w:pPr>
        <w:jc w:val="center"/>
      </w:pPr>
      <w:r>
        <w:t>______________</w:t>
      </w:r>
    </w:p>
    <w:sectPr w:rsidR="00F90DD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31C6">
      <w:rPr>
        <w:noProof/>
        <w:lang w:val="en-US"/>
      </w:rPr>
      <w:t>P:\ESP\ITU-R\CONF-R\CMR15\000\025ADD20ADD06REV1S.docx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31C6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31C6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840" w:rsidRPr="00927989" w:rsidRDefault="00034840" w:rsidP="0022212D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927989">
      <w:rPr>
        <w:lang w:val="en-US"/>
      </w:rPr>
      <w:instrText xml:space="preserve"> FILENAME \p  \* MERGEFORMAT </w:instrText>
    </w:r>
    <w:r>
      <w:fldChar w:fldCharType="separate"/>
    </w:r>
    <w:r w:rsidR="008231C6">
      <w:rPr>
        <w:lang w:val="en-US"/>
      </w:rPr>
      <w:t>P:\ESP\ITU-R\CONF-R\CMR15\000\025ADD20ADD06REV1S.docx</w:t>
    </w:r>
    <w:r>
      <w:fldChar w:fldCharType="end"/>
    </w:r>
    <w:r w:rsidRPr="00927989">
      <w:rPr>
        <w:lang w:val="en-US"/>
      </w:rPr>
      <w:t xml:space="preserve"> (38</w:t>
    </w:r>
    <w:r w:rsidR="0022212D">
      <w:rPr>
        <w:lang w:val="en-US"/>
      </w:rPr>
      <w:t>7807</w:t>
    </w:r>
    <w:r w:rsidRPr="00927989">
      <w:rPr>
        <w:lang w:val="en-US"/>
      </w:rPr>
      <w:t>)</w:t>
    </w:r>
    <w:r w:rsidRPr="009279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31C6">
      <w:t>21.10.15</w:t>
    </w:r>
    <w:r>
      <w:fldChar w:fldCharType="end"/>
    </w:r>
    <w:r w:rsidRPr="009279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31C6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89" w:rsidRPr="00927989" w:rsidRDefault="00927989" w:rsidP="0022212D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927989">
      <w:rPr>
        <w:lang w:val="en-US"/>
      </w:rPr>
      <w:instrText xml:space="preserve"> FILENAME \p  \* MERGEFORMAT </w:instrText>
    </w:r>
    <w:r>
      <w:fldChar w:fldCharType="separate"/>
    </w:r>
    <w:r w:rsidR="008231C6">
      <w:rPr>
        <w:lang w:val="en-US"/>
      </w:rPr>
      <w:t>P:\ESP\ITU-R\CONF-R\CMR15\000\025ADD20ADD06REV1S.docx</w:t>
    </w:r>
    <w:r>
      <w:fldChar w:fldCharType="end"/>
    </w:r>
    <w:r w:rsidRPr="00927989">
      <w:rPr>
        <w:lang w:val="en-US"/>
      </w:rPr>
      <w:t xml:space="preserve"> (38</w:t>
    </w:r>
    <w:r w:rsidR="0022212D">
      <w:rPr>
        <w:lang w:val="en-US"/>
      </w:rPr>
      <w:t>7807</w:t>
    </w:r>
    <w:r w:rsidRPr="00927989">
      <w:rPr>
        <w:lang w:val="en-US"/>
      </w:rPr>
      <w:t>)</w:t>
    </w:r>
    <w:r w:rsidRPr="009279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31C6">
      <w:t>21.10.15</w:t>
    </w:r>
    <w:r>
      <w:fldChar w:fldCharType="end"/>
    </w:r>
    <w:r w:rsidRPr="009279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31C6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31C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25(Add.20)(Add.6)</w:t>
    </w:r>
    <w:r w:rsidR="0022212D">
      <w:t>(Rev.1)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6F89"/>
    <w:rsid w:val="0002785D"/>
    <w:rsid w:val="00034840"/>
    <w:rsid w:val="000630AC"/>
    <w:rsid w:val="00087AE8"/>
    <w:rsid w:val="000A5B9A"/>
    <w:rsid w:val="000E5BF9"/>
    <w:rsid w:val="000F0E6D"/>
    <w:rsid w:val="00121170"/>
    <w:rsid w:val="00123CC5"/>
    <w:rsid w:val="00140658"/>
    <w:rsid w:val="0015142D"/>
    <w:rsid w:val="001616DC"/>
    <w:rsid w:val="00163962"/>
    <w:rsid w:val="00191A97"/>
    <w:rsid w:val="001A083F"/>
    <w:rsid w:val="001C41FA"/>
    <w:rsid w:val="001E2B52"/>
    <w:rsid w:val="001E3F27"/>
    <w:rsid w:val="0022212D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06249"/>
    <w:rsid w:val="005077CD"/>
    <w:rsid w:val="005133B5"/>
    <w:rsid w:val="00516A0A"/>
    <w:rsid w:val="00532097"/>
    <w:rsid w:val="0058350F"/>
    <w:rsid w:val="00583C7E"/>
    <w:rsid w:val="005D46FB"/>
    <w:rsid w:val="005F2605"/>
    <w:rsid w:val="005F3B0E"/>
    <w:rsid w:val="005F559C"/>
    <w:rsid w:val="00662BA0"/>
    <w:rsid w:val="00681C44"/>
    <w:rsid w:val="00692AAE"/>
    <w:rsid w:val="006B0BB8"/>
    <w:rsid w:val="006D6E67"/>
    <w:rsid w:val="006E1A13"/>
    <w:rsid w:val="0070055D"/>
    <w:rsid w:val="00701C20"/>
    <w:rsid w:val="00702F3D"/>
    <w:rsid w:val="0070518E"/>
    <w:rsid w:val="007354E9"/>
    <w:rsid w:val="00765578"/>
    <w:rsid w:val="0077084A"/>
    <w:rsid w:val="00783EBB"/>
    <w:rsid w:val="007952C7"/>
    <w:rsid w:val="007C0B95"/>
    <w:rsid w:val="007C2317"/>
    <w:rsid w:val="007D330A"/>
    <w:rsid w:val="008231C6"/>
    <w:rsid w:val="00866AE6"/>
    <w:rsid w:val="008750A8"/>
    <w:rsid w:val="008E5AF2"/>
    <w:rsid w:val="0090121B"/>
    <w:rsid w:val="009144C9"/>
    <w:rsid w:val="00927989"/>
    <w:rsid w:val="0094091F"/>
    <w:rsid w:val="0096779B"/>
    <w:rsid w:val="00973754"/>
    <w:rsid w:val="009C0BED"/>
    <w:rsid w:val="009E0EF1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16871"/>
    <w:rsid w:val="00D72A5D"/>
    <w:rsid w:val="00DA4629"/>
    <w:rsid w:val="00DC629B"/>
    <w:rsid w:val="00E05BFF"/>
    <w:rsid w:val="00E262F1"/>
    <w:rsid w:val="00E3176A"/>
    <w:rsid w:val="00E54754"/>
    <w:rsid w:val="00E56BD3"/>
    <w:rsid w:val="00E71D14"/>
    <w:rsid w:val="00EA2AF7"/>
    <w:rsid w:val="00F66597"/>
    <w:rsid w:val="00F675D0"/>
    <w:rsid w:val="00F8150C"/>
    <w:rsid w:val="00F90DD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5185BA1-922C-4053-AA89-53415E3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80BF53-B68D-41A7-A499-7C68795A0CD9}">
  <ds:schemaRefs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657FA-AB7D-46DF-901B-071887A1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338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R15-WRC15-C-0025!A20-A6!MSW-S</vt:lpstr>
    </vt:vector>
  </TitlesOfParts>
  <Manager>Secretaría General - Pool</Manager>
  <Company>Unión Internacional de Telecomunicaciones (UIT)</Company>
  <LinksUpToDate>false</LinksUpToDate>
  <CharactersWithSpaces>2445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R15-WRC15-C-0025!A20-A6!MSW-S</dc:title>
  <dc:subject>Conferencia Mundial de Radiocomunicaciones - 2015</dc:subject>
  <dc:creator>Documents Proposals Manager (DPM)</dc:creator>
  <cp:keywords>DPM_v5.2015.9.16_prod</cp:keywords>
  <dc:description/>
  <cp:lastModifiedBy>Burro, Maria Carmen</cp:lastModifiedBy>
  <cp:revision>5</cp:revision>
  <cp:lastPrinted>2015-10-21T09:42:00Z</cp:lastPrinted>
  <dcterms:created xsi:type="dcterms:W3CDTF">2015-10-14T18:21:00Z</dcterms:created>
  <dcterms:modified xsi:type="dcterms:W3CDTF">2015-10-21T09:44:00Z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