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EA563E" w:rsidTr="00734E59">
        <w:trPr>
          <w:cantSplit/>
        </w:trPr>
        <w:tc>
          <w:tcPr>
            <w:tcW w:w="6804" w:type="dxa"/>
          </w:tcPr>
          <w:p w:rsidR="0090121B" w:rsidRPr="00EA563E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A563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EA563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A563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EA563E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A563E">
              <w:rPr>
                <w:noProof/>
                <w:lang w:val="en-US" w:eastAsia="zh-CN"/>
              </w:rPr>
              <w:drawing>
                <wp:inline distT="0" distB="0" distL="0" distR="0" wp14:anchorId="75A56E9F" wp14:editId="6691CC8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A563E" w:rsidTr="00734E5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EA563E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EA563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EA563E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A563E" w:rsidTr="00734E5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EA563E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EA563E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A563E" w:rsidTr="00734E59">
        <w:trPr>
          <w:cantSplit/>
        </w:trPr>
        <w:tc>
          <w:tcPr>
            <w:tcW w:w="6804" w:type="dxa"/>
            <w:shd w:val="clear" w:color="auto" w:fill="auto"/>
          </w:tcPr>
          <w:p w:rsidR="0090121B" w:rsidRPr="00EA563E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A563E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EA563E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EA563E">
              <w:rPr>
                <w:rFonts w:ascii="Verdana" w:eastAsia="SimSun" w:hAnsi="Verdana" w:cs="Traditional Arabic"/>
                <w:b/>
                <w:sz w:val="20"/>
              </w:rPr>
              <w:t>Addéndum 22 al</w:t>
            </w:r>
            <w:r w:rsidRPr="00EA563E">
              <w:rPr>
                <w:rFonts w:ascii="Verdana" w:eastAsia="SimSun" w:hAnsi="Verdana" w:cs="Traditional Arabic"/>
                <w:b/>
                <w:sz w:val="20"/>
              </w:rPr>
              <w:br/>
              <w:t>Documento 25</w:t>
            </w:r>
            <w:r w:rsidR="0090121B" w:rsidRPr="00EA563E">
              <w:rPr>
                <w:rFonts w:ascii="Verdana" w:hAnsi="Verdana"/>
                <w:b/>
                <w:sz w:val="20"/>
              </w:rPr>
              <w:t>-</w:t>
            </w:r>
            <w:r w:rsidRPr="00EA563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EA563E" w:rsidTr="00734E59">
        <w:trPr>
          <w:cantSplit/>
        </w:trPr>
        <w:tc>
          <w:tcPr>
            <w:tcW w:w="6804" w:type="dxa"/>
            <w:shd w:val="clear" w:color="auto" w:fill="auto"/>
          </w:tcPr>
          <w:p w:rsidR="000A5B9A" w:rsidRPr="00EA563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EA563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A563E">
              <w:rPr>
                <w:rFonts w:ascii="Verdana" w:hAnsi="Verdana"/>
                <w:b/>
                <w:sz w:val="20"/>
              </w:rPr>
              <w:t>10 de septiembre de 2015</w:t>
            </w:r>
          </w:p>
        </w:tc>
      </w:tr>
      <w:tr w:rsidR="000A5B9A" w:rsidRPr="00EA563E" w:rsidTr="00734E59">
        <w:trPr>
          <w:cantSplit/>
        </w:trPr>
        <w:tc>
          <w:tcPr>
            <w:tcW w:w="6804" w:type="dxa"/>
          </w:tcPr>
          <w:p w:rsidR="000A5B9A" w:rsidRPr="00EA563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EA563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A563E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EA563E" w:rsidTr="006744FC">
        <w:trPr>
          <w:cantSplit/>
        </w:trPr>
        <w:tc>
          <w:tcPr>
            <w:tcW w:w="10031" w:type="dxa"/>
            <w:gridSpan w:val="2"/>
          </w:tcPr>
          <w:p w:rsidR="000A5B9A" w:rsidRPr="00EA563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EA563E" w:rsidTr="0050008E">
        <w:trPr>
          <w:cantSplit/>
        </w:trPr>
        <w:tc>
          <w:tcPr>
            <w:tcW w:w="10031" w:type="dxa"/>
            <w:gridSpan w:val="2"/>
          </w:tcPr>
          <w:p w:rsidR="000A5B9A" w:rsidRPr="00EA563E" w:rsidRDefault="000A5B9A" w:rsidP="000A5B9A">
            <w:pPr>
              <w:pStyle w:val="Source"/>
            </w:pPr>
            <w:bookmarkStart w:id="2" w:name="dsource" w:colFirst="0" w:colLast="0"/>
            <w:r w:rsidRPr="00EA563E">
              <w:t>Propuestas Comunes de los Estados Árabes</w:t>
            </w:r>
          </w:p>
        </w:tc>
      </w:tr>
      <w:tr w:rsidR="000A5B9A" w:rsidRPr="00EA563E" w:rsidTr="0050008E">
        <w:trPr>
          <w:cantSplit/>
        </w:trPr>
        <w:tc>
          <w:tcPr>
            <w:tcW w:w="10031" w:type="dxa"/>
            <w:gridSpan w:val="2"/>
          </w:tcPr>
          <w:p w:rsidR="000A5B9A" w:rsidRPr="00EA563E" w:rsidRDefault="00734E59" w:rsidP="000A5B9A">
            <w:pPr>
              <w:pStyle w:val="Title1"/>
            </w:pPr>
            <w:bookmarkStart w:id="3" w:name="dtitle1" w:colFirst="0" w:colLast="0"/>
            <w:bookmarkEnd w:id="2"/>
            <w:r w:rsidRPr="00EA563E">
              <w:t>PROPUESTAS PARA LOS TRABAJOS DE LA CONFERENCIA</w:t>
            </w:r>
          </w:p>
        </w:tc>
      </w:tr>
      <w:tr w:rsidR="000A5B9A" w:rsidRPr="00EA563E" w:rsidTr="0050008E">
        <w:trPr>
          <w:cantSplit/>
        </w:trPr>
        <w:tc>
          <w:tcPr>
            <w:tcW w:w="10031" w:type="dxa"/>
            <w:gridSpan w:val="2"/>
          </w:tcPr>
          <w:p w:rsidR="000A5B9A" w:rsidRPr="00EA563E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EA563E" w:rsidTr="0050008E">
        <w:trPr>
          <w:cantSplit/>
        </w:trPr>
        <w:tc>
          <w:tcPr>
            <w:tcW w:w="10031" w:type="dxa"/>
            <w:gridSpan w:val="2"/>
          </w:tcPr>
          <w:p w:rsidR="000A5B9A" w:rsidRPr="00EA563E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EA563E">
              <w:t>Punto 10 del orden del día</w:t>
            </w:r>
          </w:p>
        </w:tc>
      </w:tr>
    </w:tbl>
    <w:bookmarkEnd w:id="5"/>
    <w:p w:rsidR="00E1398F" w:rsidRPr="00EA563E" w:rsidRDefault="001D1E20" w:rsidP="001D51F2">
      <w:r w:rsidRPr="00EA563E">
        <w:t>10</w:t>
      </w:r>
      <w:r w:rsidRPr="00EA563E">
        <w:tab/>
        <w:t>recomendar al Consejo los puntos que han de incluirse en el orden del día de la próxima CMR, y formular opiniones sobre el orden del día preliminar de la conferencia subsiguiente y sobre los posibles órdenes del día de futuras conferencias, de conformidad con el Artículo 7 del Convenio,</w:t>
      </w:r>
    </w:p>
    <w:p w:rsidR="009C028F" w:rsidRPr="00EA563E" w:rsidRDefault="009C028F" w:rsidP="009C028F">
      <w:r w:rsidRPr="00EA563E">
        <w:t xml:space="preserve">Resolución </w:t>
      </w:r>
      <w:r w:rsidRPr="00EA563E">
        <w:rPr>
          <w:b/>
          <w:bCs/>
        </w:rPr>
        <w:t>808 (CMR</w:t>
      </w:r>
      <w:r w:rsidRPr="00EA563E">
        <w:rPr>
          <w:b/>
          <w:bCs/>
        </w:rPr>
        <w:noBreakHyphen/>
        <w:t>12)</w:t>
      </w:r>
      <w:r w:rsidRPr="00EA563E">
        <w:t>: Orden del día preliminar de la Conferencia Mundial de Radiocomunicaciones de 2018</w:t>
      </w:r>
    </w:p>
    <w:p w:rsidR="00AC4A79" w:rsidRPr="00EA563E" w:rsidRDefault="001D1E20">
      <w:pPr>
        <w:pStyle w:val="Proposal"/>
      </w:pPr>
      <w:r w:rsidRPr="00EA563E">
        <w:t>SUP</w:t>
      </w:r>
      <w:r w:rsidRPr="00EA563E">
        <w:tab/>
        <w:t>ARB/25A22/1</w:t>
      </w:r>
    </w:p>
    <w:p w:rsidR="00E622F1" w:rsidRPr="00EA563E" w:rsidRDefault="001D1E20" w:rsidP="00E622F1">
      <w:pPr>
        <w:pStyle w:val="ResNo"/>
      </w:pPr>
      <w:bookmarkStart w:id="6" w:name="_Toc328141496"/>
      <w:r w:rsidRPr="00EA563E">
        <w:t xml:space="preserve">RESOLUCIÓN </w:t>
      </w:r>
      <w:r w:rsidRPr="00EA563E">
        <w:rPr>
          <w:rStyle w:val="href"/>
        </w:rPr>
        <w:t>808</w:t>
      </w:r>
      <w:r w:rsidRPr="00EA563E">
        <w:t xml:space="preserve"> (CMR-12)</w:t>
      </w:r>
      <w:bookmarkEnd w:id="6"/>
    </w:p>
    <w:p w:rsidR="00E622F1" w:rsidRPr="00EA563E" w:rsidRDefault="001D1E20" w:rsidP="00E622F1">
      <w:pPr>
        <w:pStyle w:val="Restitle"/>
      </w:pPr>
      <w:bookmarkStart w:id="7" w:name="_Toc328141497"/>
      <w:r w:rsidRPr="00EA563E">
        <w:t>Orden del día preliminar de la Conferencia Mundial</w:t>
      </w:r>
      <w:r w:rsidRPr="00EA563E">
        <w:br/>
        <w:t>de Radiocomunicaciones de 2018</w:t>
      </w:r>
      <w:bookmarkEnd w:id="7"/>
    </w:p>
    <w:p w:rsidR="00AC4A79" w:rsidRPr="00EA563E" w:rsidRDefault="00AC4A79">
      <w:pPr>
        <w:pStyle w:val="Reasons"/>
      </w:pPr>
    </w:p>
    <w:p w:rsidR="00AC4A79" w:rsidRPr="00EA563E" w:rsidRDefault="001D1E20">
      <w:pPr>
        <w:pStyle w:val="Proposal"/>
      </w:pPr>
      <w:r w:rsidRPr="00EA563E">
        <w:t>ADD</w:t>
      </w:r>
      <w:r w:rsidRPr="00EA563E">
        <w:tab/>
        <w:t>ARB/25A22/2</w:t>
      </w:r>
    </w:p>
    <w:p w:rsidR="004D6B18" w:rsidRPr="00EA563E" w:rsidRDefault="00473726" w:rsidP="00EA563E">
      <w:pPr>
        <w:pStyle w:val="ResNo"/>
      </w:pPr>
      <w:bookmarkStart w:id="8" w:name="_Toc328141494"/>
      <w:r>
        <w:t xml:space="preserve">Proyecto de nueva </w:t>
      </w:r>
      <w:r w:rsidR="004D6B18" w:rsidRPr="00EA563E">
        <w:t xml:space="preserve">RESOLUCIÓN </w:t>
      </w:r>
      <w:r w:rsidR="00EA563E">
        <w:rPr>
          <w:rStyle w:val="href"/>
        </w:rPr>
        <w:t>[ARB-A10]</w:t>
      </w:r>
      <w:r w:rsidR="004D6B18" w:rsidRPr="00EA563E">
        <w:t xml:space="preserve"> (CMR-15)</w:t>
      </w:r>
      <w:bookmarkEnd w:id="8"/>
    </w:p>
    <w:p w:rsidR="004D6B18" w:rsidRPr="00EA563E" w:rsidRDefault="004D6B18" w:rsidP="004D6B18">
      <w:pPr>
        <w:pStyle w:val="Restitle"/>
      </w:pPr>
      <w:bookmarkStart w:id="9" w:name="_Toc320536608"/>
      <w:bookmarkStart w:id="10" w:name="_Toc328141495"/>
      <w:r w:rsidRPr="00EA563E">
        <w:t xml:space="preserve">Orden del día de la Conferencia Mundial </w:t>
      </w:r>
      <w:r w:rsidRPr="00EA563E">
        <w:br/>
        <w:t>de Radiocomunicaciones de 201</w:t>
      </w:r>
      <w:bookmarkEnd w:id="9"/>
      <w:bookmarkEnd w:id="10"/>
      <w:r w:rsidRPr="00EA563E">
        <w:t>9</w:t>
      </w:r>
    </w:p>
    <w:p w:rsidR="004D6B18" w:rsidRPr="00EA563E" w:rsidRDefault="004D6B18" w:rsidP="004D6B18">
      <w:pPr>
        <w:pStyle w:val="Normalaftertitle"/>
      </w:pPr>
      <w:r w:rsidRPr="00EA563E">
        <w:t>La Conferencia Mundial de Radiocomunicacion</w:t>
      </w:r>
      <w:r w:rsidR="00B545C3" w:rsidRPr="00EA563E">
        <w:t>es (Ginebra, 2015</w:t>
      </w:r>
      <w:r w:rsidRPr="00EA563E">
        <w:t>),</w:t>
      </w:r>
    </w:p>
    <w:p w:rsidR="004D6B18" w:rsidRPr="00EA563E" w:rsidRDefault="004D6B18" w:rsidP="004D6B18">
      <w:pPr>
        <w:pStyle w:val="Call"/>
      </w:pPr>
      <w:r w:rsidRPr="00EA563E">
        <w:t>considerando</w:t>
      </w:r>
    </w:p>
    <w:p w:rsidR="004D6B18" w:rsidRPr="00EA563E" w:rsidRDefault="004D6B18" w:rsidP="004D6B18">
      <w:r w:rsidRPr="00EA563E">
        <w:rPr>
          <w:i/>
          <w:iCs/>
        </w:rPr>
        <w:t>a)</w:t>
      </w:r>
      <w:r w:rsidRPr="00EA563E">
        <w:tab/>
        <w:t xml:space="preserve">que, de conformidad con el número 118 del Convenio de la UIT, el ámbito general del orden del día de una conferencia mundial de radiocomunicaciones debe establecerse con una </w:t>
      </w:r>
      <w:r w:rsidRPr="00EA563E">
        <w:lastRenderedPageBreak/>
        <w:t>antelación de cuatro a seis años y que el orden del día definitivo deberá establecerlo el Consejo dos años antes de la Conferencia;</w:t>
      </w:r>
    </w:p>
    <w:p w:rsidR="004D6B18" w:rsidRPr="00EA563E" w:rsidRDefault="004D6B18" w:rsidP="004D6B18">
      <w:r w:rsidRPr="00EA563E">
        <w:rPr>
          <w:i/>
          <w:iCs/>
        </w:rPr>
        <w:t>b)</w:t>
      </w:r>
      <w:r w:rsidRPr="00EA563E">
        <w:tab/>
        <w:t>el Artículo 13 de la Constitución de la UIT, sobre competencia y calendario de las conferencias mundiales de radiocomunicaciones, y el Artículo 7 del Convenio, relativo a sus órdenes del día;</w:t>
      </w:r>
    </w:p>
    <w:p w:rsidR="004D6B18" w:rsidRPr="00EA563E" w:rsidRDefault="004D6B18" w:rsidP="008129E0">
      <w:r w:rsidRPr="00EA563E">
        <w:rPr>
          <w:i/>
          <w:iCs/>
        </w:rPr>
        <w:t>c)</w:t>
      </w:r>
      <w:r w:rsidRPr="00EA563E">
        <w:tab/>
        <w:t xml:space="preserve">las </w:t>
      </w:r>
      <w:r w:rsidR="008129E0">
        <w:t>r</w:t>
      </w:r>
      <w:r w:rsidRPr="00EA563E">
        <w:t xml:space="preserve">esoluciones y </w:t>
      </w:r>
      <w:r w:rsidR="008129E0">
        <w:t>r</w:t>
      </w:r>
      <w:r w:rsidRPr="00EA563E">
        <w:t>ecomendaciones pertinentes de las anteriores Conferencias Administrativas Mundiales de Radiocomunicaciones (CAMR) y Conferencias Mundiales de Radiocomunicaciones (CMR),</w:t>
      </w:r>
    </w:p>
    <w:p w:rsidR="004D6B18" w:rsidRPr="00EA563E" w:rsidRDefault="004D6B18" w:rsidP="004D6B18">
      <w:pPr>
        <w:pStyle w:val="Call"/>
      </w:pPr>
      <w:r w:rsidRPr="00EA563E">
        <w:t>reconociendo</w:t>
      </w:r>
    </w:p>
    <w:p w:rsidR="004D6B18" w:rsidRPr="00EA563E" w:rsidRDefault="004D6B18" w:rsidP="004D6B18">
      <w:r w:rsidRPr="00EA563E">
        <w:t>que, al preparar el presente orden del día, algunos de los puntos propuestos por las administraciones no pudieron incluirse, debiendo posponerse para órdenes del día de futuras conferencias,</w:t>
      </w:r>
    </w:p>
    <w:p w:rsidR="004D6B18" w:rsidRPr="00EA563E" w:rsidRDefault="004D6B18" w:rsidP="004D6B18">
      <w:pPr>
        <w:pStyle w:val="Call"/>
      </w:pPr>
      <w:r w:rsidRPr="00EA563E">
        <w:t>resuelve</w:t>
      </w:r>
    </w:p>
    <w:p w:rsidR="004D6B18" w:rsidRPr="00EA563E" w:rsidRDefault="004D6B18" w:rsidP="00EA563E">
      <w:r w:rsidRPr="00EA563E">
        <w:t>recomendar al Consejo la celebración de una Conferencia Mundial de Radiocomunicaciones en 201</w:t>
      </w:r>
      <w:r w:rsidR="00EA563E">
        <w:t>9</w:t>
      </w:r>
      <w:r w:rsidRPr="00EA563E">
        <w:t xml:space="preserve"> con una duración máxima de cuatro semanas, y el siguiente orden del día:</w:t>
      </w:r>
    </w:p>
    <w:p w:rsidR="004D6B18" w:rsidRPr="00EA563E" w:rsidRDefault="004D6B18" w:rsidP="00EA563E">
      <w:r w:rsidRPr="00EA563E">
        <w:t>1</w:t>
      </w:r>
      <w:r w:rsidRPr="00EA563E">
        <w:tab/>
        <w:t>sobre la base de las propuestas de las administraciones, teniendo en cuenta los resultados de la CMR</w:t>
      </w:r>
      <w:r w:rsidRPr="00EA563E">
        <w:noBreakHyphen/>
        <w:t>1</w:t>
      </w:r>
      <w:r w:rsidR="00EA563E">
        <w:t>5</w:t>
      </w:r>
      <w:r w:rsidRPr="00EA563E">
        <w:t xml:space="preserve"> y del Informe de la Reunión Preparatoria de la Conferencia, y con la debida consideración a las necesidades de servicios existentes y futuros en las bandas consideradas, examinar y adoptar las medidas oportunas en relación con los temas siguientes:</w:t>
      </w:r>
    </w:p>
    <w:p w:rsidR="004D6B18" w:rsidRPr="00EA563E" w:rsidRDefault="004D6B18" w:rsidP="00EA563E">
      <w:r w:rsidRPr="00EA563E">
        <w:t>1.1</w:t>
      </w:r>
      <w:r w:rsidRPr="00EA563E">
        <w:tab/>
        <w:t xml:space="preserve">examinar atribuciones adicionales de espectro al servicio móvil a título primario e identificar bandas de frecuencias adicionales </w:t>
      </w:r>
      <w:r w:rsidR="00EA563E">
        <w:t xml:space="preserve">por encima de 31 GHz </w:t>
      </w:r>
      <w:r w:rsidRPr="00EA563E">
        <w:t xml:space="preserve">para las telecomunicaciones móviles internacionales (IMT) así como las disposiciones </w:t>
      </w:r>
      <w:r w:rsidR="00EA563E">
        <w:t>reglamentarias</w:t>
      </w:r>
      <w:r w:rsidRPr="00EA563E">
        <w:t xml:space="preserve"> conexas, para facilitar el desarrollo de aplicaciones terrenales móviles de banda ancha</w:t>
      </w:r>
      <w:r w:rsidRPr="00EA563E">
        <w:rPr>
          <w:szCs w:val="24"/>
        </w:rPr>
        <w:t>;</w:t>
      </w:r>
    </w:p>
    <w:p w:rsidR="004D6B18" w:rsidRPr="00EA563E" w:rsidRDefault="00F45CCC" w:rsidP="00EA563E">
      <w:r w:rsidRPr="00EA563E">
        <w:rPr>
          <w:szCs w:val="24"/>
        </w:rPr>
        <w:t>1.2</w:t>
      </w:r>
      <w:r w:rsidR="004D6B18" w:rsidRPr="00EA563E">
        <w:rPr>
          <w:szCs w:val="24"/>
        </w:rPr>
        <w:tab/>
      </w:r>
      <w:r w:rsidR="004D6B18" w:rsidRPr="00EA563E">
        <w:t xml:space="preserve">considerar una posible nueva atribución a título secundario al servicio de aficionados en la banda </w:t>
      </w:r>
      <w:r w:rsidR="00EA563E">
        <w:t>50-54 M</w:t>
      </w:r>
      <w:r w:rsidRPr="00EA563E">
        <w:t>Hz</w:t>
      </w:r>
      <w:r w:rsidR="004D6B18" w:rsidRPr="00EA563E">
        <w:t>;</w:t>
      </w:r>
    </w:p>
    <w:p w:rsidR="003E30BB" w:rsidRPr="00EA563E" w:rsidRDefault="003E30BB" w:rsidP="00473726">
      <w:pPr>
        <w:rPr>
          <w:szCs w:val="24"/>
        </w:rPr>
      </w:pPr>
      <w:r w:rsidRPr="00EA563E">
        <w:rPr>
          <w:szCs w:val="24"/>
        </w:rPr>
        <w:t>1.3</w:t>
      </w:r>
      <w:r w:rsidRPr="00EA563E">
        <w:rPr>
          <w:szCs w:val="24"/>
        </w:rPr>
        <w:tab/>
      </w:r>
      <w:r w:rsidR="00EA563E">
        <w:rPr>
          <w:szCs w:val="24"/>
        </w:rPr>
        <w:t xml:space="preserve">estudiar modificaciones de los procedimientos reglamentarios para la notificación de redes de satélites a fin de dar cabida a las misiones de nanosatélites y picosatélites con arreglo a la </w:t>
      </w:r>
      <w:r w:rsidR="00EA563E" w:rsidRPr="00EA563E">
        <w:t>Resolución</w:t>
      </w:r>
      <w:r w:rsidRPr="00EA563E">
        <w:t xml:space="preserve"> </w:t>
      </w:r>
      <w:r w:rsidRPr="00473726">
        <w:rPr>
          <w:b/>
          <w:bCs/>
        </w:rPr>
        <w:t>757 (</w:t>
      </w:r>
      <w:r w:rsidR="00EA563E" w:rsidRPr="00473726">
        <w:rPr>
          <w:b/>
          <w:bCs/>
        </w:rPr>
        <w:t>CMR</w:t>
      </w:r>
      <w:r w:rsidR="00473726" w:rsidRPr="00473726">
        <w:rPr>
          <w:b/>
          <w:bCs/>
        </w:rPr>
        <w:t>-</w:t>
      </w:r>
      <w:r w:rsidRPr="00473726">
        <w:rPr>
          <w:b/>
          <w:bCs/>
        </w:rPr>
        <w:t>12)</w:t>
      </w:r>
      <w:r w:rsidRPr="00EA563E">
        <w:t xml:space="preserve">, </w:t>
      </w:r>
      <w:r w:rsidR="00EA563E">
        <w:t xml:space="preserve">teniendo en cuenta las bandas de frecuencias utilizadas por otros servicios espaciales de modo que ninguna </w:t>
      </w:r>
      <w:r w:rsidRPr="00EA563E">
        <w:t>modificación del RR dé lugar a posible interferencia perjudicial a otros servicios, y que la integración de los sistemas de nanosatélites y picosatélites no afecte inadvertidamente a los procedimientos reglamentarios de otros sistemas de satélites;</w:t>
      </w:r>
    </w:p>
    <w:p w:rsidR="004D6B18" w:rsidRPr="00EA563E" w:rsidRDefault="004D6B18" w:rsidP="004D6B18">
      <w:r w:rsidRPr="00EA563E">
        <w:t>2</w:t>
      </w:r>
      <w:r w:rsidRPr="00EA563E">
        <w:tab/>
        <w:t>examinar las Recomendaciones UIT-R revisadas e incorporadas por referencia en el Reglamento de Radiocomunicaciones, comunicadas por la Asamblea de Radiocomunicaciones de acuerdo con la Resolución </w:t>
      </w:r>
      <w:r w:rsidRPr="00EA563E">
        <w:rPr>
          <w:b/>
          <w:bCs/>
        </w:rPr>
        <w:t>28</w:t>
      </w:r>
      <w:r w:rsidRPr="00EA563E">
        <w:rPr>
          <w:b/>
        </w:rPr>
        <w:t xml:space="preserve"> (Rev.CMR-03)</w:t>
      </w:r>
      <w:r w:rsidRPr="00EA563E">
        <w:rPr>
          <w:bCs/>
        </w:rPr>
        <w:t>,</w:t>
      </w:r>
      <w:r w:rsidRPr="00EA563E">
        <w:t xml:space="preserve"> y decidir si se actualizan o no las referencias correspondientes en el Reglamento de Radiocomunicaciones, con arreglo a los principios contenidos en el Anexo 1 a la Resolución </w:t>
      </w:r>
      <w:r w:rsidRPr="00EA563E">
        <w:rPr>
          <w:b/>
          <w:bCs/>
        </w:rPr>
        <w:t>27</w:t>
      </w:r>
      <w:r w:rsidRPr="00EA563E">
        <w:rPr>
          <w:b/>
        </w:rPr>
        <w:t xml:space="preserve"> (Rev.CMR-12)</w:t>
      </w:r>
      <w:r w:rsidRPr="00EA563E">
        <w:t>;</w:t>
      </w:r>
    </w:p>
    <w:p w:rsidR="004D6B18" w:rsidRPr="00EA563E" w:rsidRDefault="004D6B18" w:rsidP="004D6B18">
      <w:r w:rsidRPr="00EA563E">
        <w:t>3</w:t>
      </w:r>
      <w:r w:rsidRPr="00EA563E">
        <w:tab/>
        <w:t>examinar los cambios y las modificaciones consiguientes en el Reglamento de Radiocomunicaciones que exijan las decisiones de la Conferencia;</w:t>
      </w:r>
    </w:p>
    <w:p w:rsidR="004D6B18" w:rsidRPr="00EA563E" w:rsidRDefault="004D6B18" w:rsidP="008129E0">
      <w:r w:rsidRPr="00EA563E">
        <w:t>4</w:t>
      </w:r>
      <w:r w:rsidRPr="00EA563E">
        <w:tab/>
        <w:t>de conformidad con la Resolución </w:t>
      </w:r>
      <w:r w:rsidRPr="00EA563E">
        <w:rPr>
          <w:b/>
          <w:bCs/>
        </w:rPr>
        <w:t>95</w:t>
      </w:r>
      <w:r w:rsidRPr="00EA563E">
        <w:rPr>
          <w:b/>
        </w:rPr>
        <w:t xml:space="preserve"> (Rev.CMR-07)</w:t>
      </w:r>
      <w:r w:rsidRPr="00EA563E">
        <w:t xml:space="preserve">, considerar las </w:t>
      </w:r>
      <w:r w:rsidR="008129E0">
        <w:t>r</w:t>
      </w:r>
      <w:r w:rsidRPr="00EA563E">
        <w:t xml:space="preserve">esoluciones y </w:t>
      </w:r>
      <w:r w:rsidR="008129E0">
        <w:t>r</w:t>
      </w:r>
      <w:r w:rsidRPr="00EA563E">
        <w:t>ecomendaciones de las conferencias anteriores para su posible revisión, sustitución o supresión;</w:t>
      </w:r>
    </w:p>
    <w:p w:rsidR="004D6B18" w:rsidRPr="00EA563E" w:rsidRDefault="004D6B18" w:rsidP="004D6B18">
      <w:r w:rsidRPr="00EA563E">
        <w:t>5</w:t>
      </w:r>
      <w:r w:rsidRPr="00EA563E">
        <w:tab/>
        <w:t>examinar el Informe de la Asamblea de Radiocomunicaciones presentado de acuerdo con los números 135 y 136 del Convenio, y tomar las medidas adecuadas al respecto;</w:t>
      </w:r>
    </w:p>
    <w:p w:rsidR="004D6B18" w:rsidRPr="00EA563E" w:rsidRDefault="004D6B18" w:rsidP="004D6B18">
      <w:r w:rsidRPr="00EA563E">
        <w:t>6</w:t>
      </w:r>
      <w:r w:rsidRPr="00EA563E">
        <w:tab/>
        <w:t>identificar los temas que exigen medidas urgentes por parte de las Comisiones de Estudio de Radiocomunicaciones para la preparación de la próxima Conferencia Mundial de Radiocomunicaciones;</w:t>
      </w:r>
    </w:p>
    <w:p w:rsidR="004D6B18" w:rsidRPr="00EA563E" w:rsidRDefault="004D6B18" w:rsidP="00473726">
      <w:r w:rsidRPr="00EA563E">
        <w:lastRenderedPageBreak/>
        <w:t>7</w:t>
      </w:r>
      <w:r w:rsidRPr="00EA563E">
        <w:tab/>
        <w:t>considerar posibles modificaciones y otras opciones como consecuencia de la Resolución 86 (Rev. Marrakech, 2002) de la Conferencia de Plenipotenciarios</w:t>
      </w:r>
      <w:r w:rsidR="005F58F0">
        <w:t xml:space="preserve"> en cuanto a los p</w:t>
      </w:r>
      <w:r w:rsidRPr="00EA563E">
        <w:t>rocedimientos de publicación anticipada, de coordinación, de notificación y de inscripción de asignaciones de frecuencias de redes de satélite</w:t>
      </w:r>
      <w:r w:rsidR="005F58F0">
        <w:t>s</w:t>
      </w:r>
      <w:r w:rsidRPr="00EA563E">
        <w:t>, de conformidad con la Resolución </w:t>
      </w:r>
      <w:r w:rsidRPr="00EA563E">
        <w:rPr>
          <w:b/>
          <w:bCs/>
        </w:rPr>
        <w:t>86 (Rev.CMR</w:t>
      </w:r>
      <w:r w:rsidR="00473726">
        <w:rPr>
          <w:b/>
          <w:bCs/>
        </w:rPr>
        <w:noBreakHyphen/>
      </w:r>
      <w:r w:rsidRPr="00EA563E">
        <w:rPr>
          <w:b/>
          <w:bCs/>
        </w:rPr>
        <w:t>07)</w:t>
      </w:r>
      <w:r w:rsidRPr="00EA563E">
        <w:t>, para facilitar la utilización racional, eficaz y económica de las frecuencias radioeléctricas y toda órbita asociada, incluida la órbita de los satélites geoestacionarios;</w:t>
      </w:r>
    </w:p>
    <w:p w:rsidR="004D6B18" w:rsidRPr="00EA563E" w:rsidRDefault="004D6B18" w:rsidP="005F58F0">
      <w:r w:rsidRPr="00EA563E">
        <w:t>8</w:t>
      </w:r>
      <w:r w:rsidRPr="00EA563E">
        <w:tab/>
        <w:t>examinar las peticiones de las administraciones de suprimir las notas de sus países o de que se suprima el nombre de sus países de las notas, cuando ya no sea necesario, teniendo en cuenta la Resolución </w:t>
      </w:r>
      <w:r w:rsidRPr="00EA563E">
        <w:rPr>
          <w:b/>
          <w:bCs/>
        </w:rPr>
        <w:t>26 (Rev.CMR-07)</w:t>
      </w:r>
      <w:r w:rsidRPr="00EA563E">
        <w:t>, y adoptar las medidas oportunas al respecto;</w:t>
      </w:r>
    </w:p>
    <w:p w:rsidR="004D6B18" w:rsidRPr="00EA563E" w:rsidRDefault="004D6B18" w:rsidP="004D6B18">
      <w:r w:rsidRPr="00EA563E">
        <w:t>9</w:t>
      </w:r>
      <w:r w:rsidRPr="00EA563E">
        <w:tab/>
        <w:t>examinar y aprobar el Informe del Director de la Oficina de Radiocomunicaciones, de conformidad con el Artículo 7 del Convenio:</w:t>
      </w:r>
    </w:p>
    <w:p w:rsidR="004D6B18" w:rsidRPr="00EA563E" w:rsidRDefault="004D6B18" w:rsidP="00473726">
      <w:r w:rsidRPr="00EA563E">
        <w:t>9.1</w:t>
      </w:r>
      <w:r w:rsidRPr="00EA563E">
        <w:tab/>
        <w:t>sobre las actividades del Sector de Radiocomunicaciones desde la CMR-1</w:t>
      </w:r>
      <w:r w:rsidR="00473726">
        <w:t>5</w:t>
      </w:r>
      <w:r w:rsidRPr="00EA563E">
        <w:t>;</w:t>
      </w:r>
    </w:p>
    <w:p w:rsidR="00253EB0" w:rsidRPr="00EA563E" w:rsidRDefault="00253EB0" w:rsidP="005F58F0">
      <w:r w:rsidRPr="00EA563E">
        <w:t>9.1.1</w:t>
      </w:r>
      <w:r w:rsidRPr="00EA563E">
        <w:tab/>
      </w:r>
      <w:r w:rsidR="005F58F0">
        <w:t xml:space="preserve">estudiar las consideraciones reglamentarias y técnicas necesarias para mitigar el exceso de notificaciones de redes de satélites en las distintas fases de la inscripción (NOTA – Véase la propuesta </w:t>
      </w:r>
      <w:r w:rsidRPr="00EA563E">
        <w:t>ADD ARB/25A22/3)</w:t>
      </w:r>
      <w:r w:rsidR="00473726">
        <w:t>;</w:t>
      </w:r>
    </w:p>
    <w:p w:rsidR="004D6B18" w:rsidRPr="00EA563E" w:rsidRDefault="004D6B18" w:rsidP="004D6B18">
      <w:r w:rsidRPr="00EA563E">
        <w:t>9.2</w:t>
      </w:r>
      <w:r w:rsidRPr="00EA563E">
        <w:tab/>
        <w:t>sobre las dificultades o incoherencias observadas en la aplicación del Reglamento de Radiocomunicaciones; y</w:t>
      </w:r>
    </w:p>
    <w:p w:rsidR="004D6B18" w:rsidRPr="00EA563E" w:rsidRDefault="004D6B18" w:rsidP="004D6B18">
      <w:r w:rsidRPr="00EA563E">
        <w:t>9.3</w:t>
      </w:r>
      <w:r w:rsidRPr="00EA563E">
        <w:tab/>
        <w:t>sobre acciones en respuesta a la Resolución </w:t>
      </w:r>
      <w:r w:rsidRPr="00EA563E">
        <w:rPr>
          <w:b/>
          <w:bCs/>
        </w:rPr>
        <w:t>80 (Rev.CMR-07)</w:t>
      </w:r>
      <w:r w:rsidRPr="00EA563E">
        <w:t>;</w:t>
      </w:r>
    </w:p>
    <w:p w:rsidR="004D6B18" w:rsidRPr="00EA563E" w:rsidRDefault="004D6B18" w:rsidP="004D6B18">
      <w:r w:rsidRPr="00EA563E">
        <w:t>10</w:t>
      </w:r>
      <w:r w:rsidRPr="00EA563E">
        <w:tab/>
        <w:t>recomendar al Consejo los puntos que han de incluirse en el orden del día de la próxima CMR, y formular opiniones sobre el orden del día preliminar de la conferencia subsiguiente y sobre los posibles órdenes del día de futuras conferencias, de conformidad con el Artículo 7 del Convenio</w:t>
      </w:r>
      <w:r w:rsidRPr="00EA563E">
        <w:rPr>
          <w:bCs/>
        </w:rPr>
        <w:t>,</w:t>
      </w:r>
    </w:p>
    <w:p w:rsidR="004D6B18" w:rsidRPr="00EA563E" w:rsidRDefault="004D6B18" w:rsidP="004D6B18">
      <w:pPr>
        <w:pStyle w:val="Call"/>
      </w:pPr>
      <w:r w:rsidRPr="00EA563E">
        <w:t>resuelve además</w:t>
      </w:r>
    </w:p>
    <w:p w:rsidR="004D6B18" w:rsidRPr="00EA563E" w:rsidRDefault="004D6B18" w:rsidP="004D6B18">
      <w:r w:rsidRPr="00EA563E">
        <w:t>poner en funcionamiento la Reunión Preparatoria de la Conferencia,</w:t>
      </w:r>
    </w:p>
    <w:p w:rsidR="004D6B18" w:rsidRPr="00EA563E" w:rsidRDefault="004D6B18" w:rsidP="004D6B18">
      <w:pPr>
        <w:pStyle w:val="Call"/>
      </w:pPr>
      <w:r w:rsidRPr="00EA563E">
        <w:t>invita al Consejo</w:t>
      </w:r>
    </w:p>
    <w:p w:rsidR="004D6B18" w:rsidRPr="00EA563E" w:rsidRDefault="004D6B18" w:rsidP="004D6B18">
      <w:r w:rsidRPr="00EA563E">
        <w:t>a que ultime el orden del día y tome las disposiciones necesarias para convocar la CMR</w:t>
      </w:r>
      <w:r w:rsidRPr="00EA563E">
        <w:noBreakHyphen/>
      </w:r>
      <w:r w:rsidR="00253EB0" w:rsidRPr="00EA563E">
        <w:t>19</w:t>
      </w:r>
      <w:r w:rsidRPr="00EA563E">
        <w:t>, y a que inicie a la mayor brevedad posible las consultas necesarias con los Estados Miembros,</w:t>
      </w:r>
    </w:p>
    <w:p w:rsidR="004D6B18" w:rsidRPr="00EA563E" w:rsidRDefault="004D6B18" w:rsidP="004D6B18">
      <w:pPr>
        <w:pStyle w:val="Call"/>
      </w:pPr>
      <w:r w:rsidRPr="00EA563E">
        <w:t>encarga al Director de la Oficina de Radiocomunicaciones</w:t>
      </w:r>
    </w:p>
    <w:p w:rsidR="004D6B18" w:rsidRPr="00EA563E" w:rsidRDefault="004D6B18" w:rsidP="004D6B18">
      <w:r w:rsidRPr="00EA563E">
        <w:t>que tome las medidas necesarias para convocar las sesiones de la Reunión Preparat</w:t>
      </w:r>
      <w:r w:rsidR="005F58F0">
        <w:t>oria de la Conferencia y elaborar</w:t>
      </w:r>
      <w:r w:rsidRPr="00EA563E">
        <w:t xml:space="preserve"> un informe a la CMR</w:t>
      </w:r>
      <w:r w:rsidRPr="00EA563E">
        <w:noBreakHyphen/>
      </w:r>
      <w:r w:rsidR="00253EB0" w:rsidRPr="00EA563E">
        <w:t>19</w:t>
      </w:r>
      <w:r w:rsidRPr="00EA563E">
        <w:t>,</w:t>
      </w:r>
    </w:p>
    <w:p w:rsidR="004D6B18" w:rsidRPr="00EA563E" w:rsidRDefault="004D6B18" w:rsidP="004D6B18">
      <w:pPr>
        <w:pStyle w:val="Call"/>
      </w:pPr>
      <w:r w:rsidRPr="00EA563E">
        <w:t>encarga al Secretario General</w:t>
      </w:r>
    </w:p>
    <w:p w:rsidR="004D6B18" w:rsidRPr="00EA563E" w:rsidRDefault="004D6B18" w:rsidP="004D6B18">
      <w:r w:rsidRPr="00EA563E">
        <w:t>que comunique la presente Resolución a las organizaciones internacionales y regionales interesadas.</w:t>
      </w:r>
    </w:p>
    <w:p w:rsidR="00AC4A79" w:rsidRPr="00EA563E" w:rsidRDefault="00AC4A79">
      <w:pPr>
        <w:pStyle w:val="Reasons"/>
      </w:pPr>
    </w:p>
    <w:p w:rsidR="00AC4A79" w:rsidRPr="00EA563E" w:rsidRDefault="001D1E20">
      <w:pPr>
        <w:pStyle w:val="Proposal"/>
      </w:pPr>
      <w:r w:rsidRPr="00EA563E">
        <w:t>ADD</w:t>
      </w:r>
      <w:r w:rsidRPr="00EA563E">
        <w:tab/>
        <w:t>ARB/25A22/3</w:t>
      </w:r>
    </w:p>
    <w:p w:rsidR="002D1842" w:rsidRPr="00EA563E" w:rsidRDefault="00473726" w:rsidP="000D3A87">
      <w:pPr>
        <w:pStyle w:val="ResNo"/>
      </w:pPr>
      <w:bookmarkStart w:id="11" w:name="_Toc327364592"/>
      <w:r>
        <w:t xml:space="preserve">PROYECTO DE NUEVA </w:t>
      </w:r>
      <w:r w:rsidR="002D1842" w:rsidRPr="00EA563E">
        <w:t xml:space="preserve">RESOLUCIÓN </w:t>
      </w:r>
      <w:r w:rsidR="000D3A87" w:rsidRPr="00473726">
        <w:rPr>
          <w:caps w:val="0"/>
          <w:szCs w:val="28"/>
        </w:rPr>
        <w:t>[ARB-B10]</w:t>
      </w:r>
      <w:r w:rsidR="000D3A87" w:rsidRPr="00473726">
        <w:rPr>
          <w:caps w:val="0"/>
          <w:sz w:val="24"/>
        </w:rPr>
        <w:t xml:space="preserve"> </w:t>
      </w:r>
      <w:r w:rsidR="002D1842" w:rsidRPr="00EA563E">
        <w:t>(CMR</w:t>
      </w:r>
      <w:r w:rsidR="002D1842" w:rsidRPr="00EA563E">
        <w:noBreakHyphen/>
        <w:t>15)</w:t>
      </w:r>
      <w:bookmarkEnd w:id="11"/>
    </w:p>
    <w:p w:rsidR="002D1842" w:rsidRPr="00EA563E" w:rsidRDefault="005F58F0" w:rsidP="005F58F0">
      <w:pPr>
        <w:pStyle w:val="Restitle"/>
      </w:pPr>
      <w:r>
        <w:t xml:space="preserve">Disposiciones reglamentarias para aliviar el problema del exceso de notificaciones de redes de satélites </w:t>
      </w:r>
    </w:p>
    <w:p w:rsidR="002D1842" w:rsidRPr="00EA563E" w:rsidRDefault="002D1842" w:rsidP="002D1842">
      <w:pPr>
        <w:pStyle w:val="Normalaftertitle"/>
      </w:pPr>
      <w:r w:rsidRPr="00EA563E">
        <w:t>La Conferencia Mundial de Radiocomunicaciones (Ginebra, 2015),</w:t>
      </w:r>
    </w:p>
    <w:p w:rsidR="002D1842" w:rsidRPr="00EA563E" w:rsidRDefault="002D1842" w:rsidP="002D1842">
      <w:pPr>
        <w:pStyle w:val="Call"/>
      </w:pPr>
      <w:r w:rsidRPr="00EA563E">
        <w:lastRenderedPageBreak/>
        <w:t>considerando</w:t>
      </w:r>
    </w:p>
    <w:p w:rsidR="002D1842" w:rsidRPr="00EA563E" w:rsidRDefault="002D1842" w:rsidP="002D1842">
      <w:r w:rsidRPr="00EA563E">
        <w:rPr>
          <w:i/>
        </w:rPr>
        <w:t>a)</w:t>
      </w:r>
      <w:r w:rsidRPr="00EA563E">
        <w:tab/>
        <w:t xml:space="preserve">que es necesario utilizar de forma racional y eficaz el espectro de frecuencias y la órbita de los satélites geoestacionarios y que deben tomarse en consideración las disposiciones de la Resolución </w:t>
      </w:r>
      <w:r w:rsidRPr="00EA563E">
        <w:rPr>
          <w:b/>
        </w:rPr>
        <w:t>2</w:t>
      </w:r>
      <w:r w:rsidRPr="00EA563E">
        <w:t xml:space="preserve"> </w:t>
      </w:r>
      <w:r w:rsidRPr="00EA563E">
        <w:rPr>
          <w:b/>
          <w:bCs/>
        </w:rPr>
        <w:t>(Rev.CMR</w:t>
      </w:r>
      <w:r w:rsidRPr="00EA563E">
        <w:rPr>
          <w:b/>
          <w:bCs/>
        </w:rPr>
        <w:noBreakHyphen/>
        <w:t>03)</w:t>
      </w:r>
      <w:r w:rsidRPr="00EA563E">
        <w:t xml:space="preserve"> relativa a la utilización por todos los países, con igualdad de derechos y acceso equitativo a las bandas de frecuencias atribuidas y a las correspondientes órbitas de satélite para los servicios de radiocomunicación espacial;</w:t>
      </w:r>
    </w:p>
    <w:p w:rsidR="002D1842" w:rsidRPr="00EA563E" w:rsidRDefault="002D1842" w:rsidP="002D1842">
      <w:pPr>
        <w:rPr>
          <w:i/>
          <w:szCs w:val="24"/>
        </w:rPr>
      </w:pPr>
      <w:r w:rsidRPr="00EA563E">
        <w:rPr>
          <w:i/>
          <w:iCs/>
        </w:rPr>
        <w:t>b)</w:t>
      </w:r>
      <w:r w:rsidRPr="00EA563E">
        <w:tab/>
        <w:t>que el Artículo 44 de la Constitución de la UIT estipula que: «</w:t>
      </w:r>
      <w:r w:rsidRPr="00EA563E">
        <w:rPr>
          <w:i/>
          <w:iCs/>
        </w:rPr>
        <w:t>En la utilización de bandas de frecuencias para los servicios de radiocomunicaciones, los Estados Miembros tendrán en cuenta que las frecuencias y las órbitas asociadas, incluida la órbita de los satélites geoestacionarios, son recursos naturales limitados que deben utilizarse de forma racional, eficaz y económica, de conformidad con lo establecido en el Reglamento de Radiocomunicaciones, para permitir el acceso equitativo a esas órbitas y a esas frecuencias a los diferentes países o grupos de países, teniendo en cuenta las necesidades especiales de los países en desarrollo y la situación geográfica de determinados países</w:t>
      </w:r>
      <w:r w:rsidRPr="00EA563E">
        <w:t>»;</w:t>
      </w:r>
    </w:p>
    <w:p w:rsidR="002D1842" w:rsidRPr="00EA563E" w:rsidRDefault="002D1842" w:rsidP="002D1842">
      <w:r w:rsidRPr="00EA563E">
        <w:rPr>
          <w:i/>
          <w:iCs/>
        </w:rPr>
        <w:t>c)</w:t>
      </w:r>
      <w:r w:rsidRPr="00EA563E">
        <w:tab/>
        <w:t xml:space="preserve">que los estudios del UIT-R revelan que gran parte de las redes de satélites suelen suprimirse tras la expiración del plazo de 7 años estipulado en el número </w:t>
      </w:r>
      <w:r w:rsidRPr="00EA563E">
        <w:rPr>
          <w:b/>
          <w:bCs/>
        </w:rPr>
        <w:t>11.44</w:t>
      </w:r>
      <w:r w:rsidR="008129E0" w:rsidRPr="008129E0">
        <w:t xml:space="preserve"> del Reglamento de Radiocomunicaciones</w:t>
      </w:r>
      <w:r w:rsidRPr="00EA563E">
        <w:t>;</w:t>
      </w:r>
    </w:p>
    <w:p w:rsidR="002D1842" w:rsidRPr="00EA563E" w:rsidRDefault="002D1842" w:rsidP="002D1842">
      <w:r w:rsidRPr="00EA563E">
        <w:rPr>
          <w:i/>
          <w:iCs/>
        </w:rPr>
        <w:t>d)</w:t>
      </w:r>
      <w:r w:rsidRPr="00EA563E">
        <w:tab/>
        <w:t>que la actual incertidumbre en la coordinación de redes de satélite puede requerir cierta flexibilidad, que debería asociarse mediante múltiples notificaciones de redes para abarcar las necesidades de coordinación;</w:t>
      </w:r>
    </w:p>
    <w:p w:rsidR="002D1842" w:rsidRPr="00EA563E" w:rsidRDefault="002D1842" w:rsidP="002D1842">
      <w:r w:rsidRPr="00EA563E">
        <w:rPr>
          <w:i/>
          <w:iCs/>
        </w:rPr>
        <w:t>e)</w:t>
      </w:r>
      <w:r w:rsidRPr="00EA563E">
        <w:tab/>
        <w:t xml:space="preserve">que la notificación múltiple de redes podría desbordar las necesidades de coordinación de las redes presentadas ulteriormente e impedir así a estas redes el acceso oportuno a la órbita; </w:t>
      </w:r>
    </w:p>
    <w:p w:rsidR="002D1842" w:rsidRPr="00EA563E" w:rsidRDefault="002D1842" w:rsidP="002D1842">
      <w:r w:rsidRPr="00EA563E">
        <w:rPr>
          <w:i/>
          <w:iCs/>
        </w:rPr>
        <w:t>f)</w:t>
      </w:r>
      <w:r w:rsidRPr="00EA563E">
        <w:tab/>
        <w:t>que la consolidación de los procedimientos vigentes podría facilitar el acceso al espectro radioeléctrico y a los recursos orbitales, reduciría la incertidumbre y los riesgos que entraña la coordinación y daría flexibilidad para una futura expansión,</w:t>
      </w:r>
    </w:p>
    <w:p w:rsidR="002D1842" w:rsidRPr="00EA563E" w:rsidRDefault="002D1842" w:rsidP="002D1842">
      <w:pPr>
        <w:pStyle w:val="Call"/>
      </w:pPr>
      <w:r w:rsidRPr="00EA563E">
        <w:t>reconociendo</w:t>
      </w:r>
    </w:p>
    <w:p w:rsidR="002D1842" w:rsidRPr="00EA563E" w:rsidRDefault="002D1842" w:rsidP="002D1842">
      <w:r w:rsidRPr="00EA563E">
        <w:t xml:space="preserve">que en la Resolución </w:t>
      </w:r>
      <w:r w:rsidRPr="00EA563E">
        <w:rPr>
          <w:b/>
          <w:bCs/>
        </w:rPr>
        <w:t xml:space="preserve">86 </w:t>
      </w:r>
      <w:r w:rsidRPr="00EA563E">
        <w:rPr>
          <w:b/>
          <w:bCs/>
          <w:lang w:eastAsia="ja-JP"/>
        </w:rPr>
        <w:t>(Rev.CMR</w:t>
      </w:r>
      <w:r w:rsidRPr="00EA563E">
        <w:rPr>
          <w:b/>
          <w:bCs/>
          <w:lang w:eastAsia="ja-JP"/>
        </w:rPr>
        <w:noBreakHyphen/>
        <w:t>07)</w:t>
      </w:r>
      <w:r w:rsidRPr="00EA563E">
        <w:rPr>
          <w:lang w:eastAsia="ja-JP"/>
        </w:rPr>
        <w:t xml:space="preserve"> </w:t>
      </w:r>
      <w:r w:rsidRPr="00EA563E">
        <w:t>se invita a las futuras Conferencias Mundiales de Radiocomunicaciones a examinar cualquier propuesta que analice las deficiencias y mejoras de los procedimientos de publicación anticipada, coordinación, notificación e inscripción del Reglamento de Radiocomunicaciones para las asignaciones de frecuencias a los servicios espaciales que o bien hayan sido identificados por la Junta e incluidos en las Reglas de Procedimiento, o bien hayan sido identificados por las administraciones o por la Oficina de Radiocomunicaciones, según proceda,</w:t>
      </w:r>
    </w:p>
    <w:p w:rsidR="002D1842" w:rsidRPr="00EA563E" w:rsidRDefault="002D1842" w:rsidP="002D1842">
      <w:pPr>
        <w:pStyle w:val="Call"/>
      </w:pPr>
      <w:r w:rsidRPr="00EA563E">
        <w:rPr>
          <w:color w:val="000000"/>
        </w:rPr>
        <w:t>resuelve</w:t>
      </w:r>
    </w:p>
    <w:p w:rsidR="001D1E20" w:rsidRPr="00EA563E" w:rsidRDefault="001D1E20" w:rsidP="005F58F0">
      <w:pPr>
        <w:rPr>
          <w:color w:val="000000"/>
        </w:rPr>
      </w:pPr>
      <w:r w:rsidRPr="00EA563E">
        <w:t>1</w:t>
      </w:r>
      <w:r w:rsidRPr="00EA563E">
        <w:tab/>
      </w:r>
      <w:r w:rsidR="005F58F0">
        <w:t>invitar al Sector de Radiocomunicaciones a estudiar las consideraciones técnicas y reglamentarias necesarias para aliviar el problema del exceso de notificaciones de redes de satélites en las distintas fases de la inscripción</w:t>
      </w:r>
      <w:r w:rsidRPr="00EA563E">
        <w:rPr>
          <w:color w:val="000000"/>
        </w:rPr>
        <w:t>;</w:t>
      </w:r>
    </w:p>
    <w:p w:rsidR="001D1E20" w:rsidRPr="00EA563E" w:rsidRDefault="001D1E20" w:rsidP="005F58F0">
      <w:r w:rsidRPr="00EA563E">
        <w:t>2</w:t>
      </w:r>
      <w:r w:rsidRPr="00EA563E">
        <w:tab/>
      </w:r>
      <w:r w:rsidR="005F58F0">
        <w:t>invitar a las administraciones a reconsiderar las notificaciones de redes de satélites y a suprimir las bandas de frecuencias de las redes con notificaciones que dichas administraciones puedan considerar que no se pondrán en servicio de acuerdo con los plazos reglamentarios, según corresponda</w:t>
      </w:r>
      <w:r w:rsidRPr="00EA563E">
        <w:t>,</w:t>
      </w:r>
    </w:p>
    <w:p w:rsidR="001D1E20" w:rsidRPr="00EA563E" w:rsidRDefault="005F58F0" w:rsidP="005F58F0">
      <w:pPr>
        <w:pStyle w:val="Call"/>
      </w:pPr>
      <w:r>
        <w:t>encarga al Director de la Oficina de Radiocomunicaciones</w:t>
      </w:r>
      <w:r w:rsidR="001D1E20" w:rsidRPr="00EA563E">
        <w:t xml:space="preserve"> </w:t>
      </w:r>
    </w:p>
    <w:p w:rsidR="001D1E20" w:rsidRPr="00EA563E" w:rsidRDefault="005F58F0" w:rsidP="005F58F0">
      <w:r>
        <w:t xml:space="preserve">que incluya en su Informe a la CMR-19, para su examen, los resultados de los estudios del UIT-R mencionados en el </w:t>
      </w:r>
      <w:r w:rsidRPr="005F58F0">
        <w:rPr>
          <w:i/>
          <w:iCs/>
        </w:rPr>
        <w:t>resuelve</w:t>
      </w:r>
      <w:r>
        <w:t xml:space="preserve"> anterior.</w:t>
      </w:r>
    </w:p>
    <w:p w:rsidR="001D1E20" w:rsidRPr="00EA563E" w:rsidRDefault="001D1E20" w:rsidP="001D1E20">
      <w:pPr>
        <w:pStyle w:val="Reasons"/>
      </w:pPr>
      <w:bookmarkStart w:id="12" w:name="_GoBack"/>
      <w:bookmarkEnd w:id="12"/>
    </w:p>
    <w:p w:rsidR="00AC4A79" w:rsidRPr="00EA563E" w:rsidRDefault="001D1E20" w:rsidP="008129E0">
      <w:pPr>
        <w:spacing w:before="0"/>
        <w:jc w:val="center"/>
      </w:pPr>
      <w:r w:rsidRPr="00EA563E">
        <w:t>______________</w:t>
      </w:r>
    </w:p>
    <w:sectPr w:rsidR="00AC4A79" w:rsidRPr="00EA563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2785">
      <w:rPr>
        <w:noProof/>
        <w:lang w:val="en-US"/>
      </w:rPr>
      <w:t>P:\TRAD\S\ITU-R\CONF-R\CMR15\000\025ADD22S_MONTAJE FP.docx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2350">
      <w:rPr>
        <w:noProof/>
      </w:rPr>
      <w:t>07.10.15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2785">
      <w:rPr>
        <w:noProof/>
      </w:rPr>
      <w:t>07.10.15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8D" w:rsidRPr="00473726" w:rsidRDefault="00473726" w:rsidP="0047372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P:\ESP\ITU-R\CONF-R\CMR15\000\025ADD22S.docx</w:t>
    </w:r>
    <w:r>
      <w:fldChar w:fldCharType="end"/>
    </w:r>
    <w:r>
      <w:t xml:space="preserve"> (386887)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473726" w:rsidRDefault="00473726" w:rsidP="00473726">
    <w:pPr>
      <w:pStyle w:val="Footer"/>
    </w:pPr>
    <w:fldSimple w:instr=" FILENAME \p  \* MERGEFORMAT ">
      <w:r>
        <w:t>P:\ESP\ITU-R\CONF-R\CMR15\000\025ADD22S.docx</w:t>
      </w:r>
    </w:fldSimple>
    <w:r>
      <w:t xml:space="preserve"> (386887)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29E0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25(Add.22)-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D3A87"/>
    <w:rsid w:val="000E5BF9"/>
    <w:rsid w:val="000F0E6D"/>
    <w:rsid w:val="00121170"/>
    <w:rsid w:val="00123CC5"/>
    <w:rsid w:val="001501E8"/>
    <w:rsid w:val="0015142D"/>
    <w:rsid w:val="00152785"/>
    <w:rsid w:val="001616DC"/>
    <w:rsid w:val="00163962"/>
    <w:rsid w:val="00191A97"/>
    <w:rsid w:val="001A083F"/>
    <w:rsid w:val="001C41FA"/>
    <w:rsid w:val="001D1E20"/>
    <w:rsid w:val="001E2B52"/>
    <w:rsid w:val="001E3F27"/>
    <w:rsid w:val="00236D2A"/>
    <w:rsid w:val="00253EB0"/>
    <w:rsid w:val="00255F12"/>
    <w:rsid w:val="00262C09"/>
    <w:rsid w:val="0027488D"/>
    <w:rsid w:val="002A791F"/>
    <w:rsid w:val="002C1B26"/>
    <w:rsid w:val="002C5D6C"/>
    <w:rsid w:val="002D1842"/>
    <w:rsid w:val="002E701F"/>
    <w:rsid w:val="003248A9"/>
    <w:rsid w:val="00324FFA"/>
    <w:rsid w:val="0032680B"/>
    <w:rsid w:val="00363A65"/>
    <w:rsid w:val="003B1E8C"/>
    <w:rsid w:val="003C2508"/>
    <w:rsid w:val="003D0AA3"/>
    <w:rsid w:val="003E30BB"/>
    <w:rsid w:val="00440B3A"/>
    <w:rsid w:val="0045384C"/>
    <w:rsid w:val="00454553"/>
    <w:rsid w:val="00473726"/>
    <w:rsid w:val="004B124A"/>
    <w:rsid w:val="004C3C57"/>
    <w:rsid w:val="004D6B18"/>
    <w:rsid w:val="005133B5"/>
    <w:rsid w:val="00532097"/>
    <w:rsid w:val="0058350F"/>
    <w:rsid w:val="00583C7E"/>
    <w:rsid w:val="005D46FB"/>
    <w:rsid w:val="005F2605"/>
    <w:rsid w:val="005F3B0E"/>
    <w:rsid w:val="005F559C"/>
    <w:rsid w:val="005F58F0"/>
    <w:rsid w:val="00662BA0"/>
    <w:rsid w:val="00692AAE"/>
    <w:rsid w:val="006D6E67"/>
    <w:rsid w:val="006E1A13"/>
    <w:rsid w:val="00701C20"/>
    <w:rsid w:val="00702F3D"/>
    <w:rsid w:val="0070518E"/>
    <w:rsid w:val="00734E59"/>
    <w:rsid w:val="007354E9"/>
    <w:rsid w:val="00765578"/>
    <w:rsid w:val="0077084A"/>
    <w:rsid w:val="007952C7"/>
    <w:rsid w:val="007C0B95"/>
    <w:rsid w:val="007C2317"/>
    <w:rsid w:val="007D330A"/>
    <w:rsid w:val="008129E0"/>
    <w:rsid w:val="00822350"/>
    <w:rsid w:val="00832F25"/>
    <w:rsid w:val="00866AE6"/>
    <w:rsid w:val="008750A8"/>
    <w:rsid w:val="008E5AF2"/>
    <w:rsid w:val="0090121B"/>
    <w:rsid w:val="009144C9"/>
    <w:rsid w:val="0094091F"/>
    <w:rsid w:val="00973754"/>
    <w:rsid w:val="009A2769"/>
    <w:rsid w:val="009C028F"/>
    <w:rsid w:val="009C0BED"/>
    <w:rsid w:val="009E11EC"/>
    <w:rsid w:val="00A118DB"/>
    <w:rsid w:val="00A26ECF"/>
    <w:rsid w:val="00A4450C"/>
    <w:rsid w:val="00AA5E6C"/>
    <w:rsid w:val="00AC4A79"/>
    <w:rsid w:val="00AE5677"/>
    <w:rsid w:val="00AE658F"/>
    <w:rsid w:val="00AF2F78"/>
    <w:rsid w:val="00B239FA"/>
    <w:rsid w:val="00B52D55"/>
    <w:rsid w:val="00B545C3"/>
    <w:rsid w:val="00B8288C"/>
    <w:rsid w:val="00BE2E80"/>
    <w:rsid w:val="00BE5EDD"/>
    <w:rsid w:val="00BE6A1F"/>
    <w:rsid w:val="00C126C4"/>
    <w:rsid w:val="00C60CE4"/>
    <w:rsid w:val="00C63EB5"/>
    <w:rsid w:val="00CC01E0"/>
    <w:rsid w:val="00CD5FEE"/>
    <w:rsid w:val="00CE60D2"/>
    <w:rsid w:val="00CE7431"/>
    <w:rsid w:val="00D0288A"/>
    <w:rsid w:val="00D72A5D"/>
    <w:rsid w:val="00DA25CB"/>
    <w:rsid w:val="00DC629B"/>
    <w:rsid w:val="00E05BFF"/>
    <w:rsid w:val="00E262F1"/>
    <w:rsid w:val="00E3176A"/>
    <w:rsid w:val="00E54754"/>
    <w:rsid w:val="00E56BD3"/>
    <w:rsid w:val="00E71D14"/>
    <w:rsid w:val="00EA563E"/>
    <w:rsid w:val="00F45CCC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79B8718-4AA5-4C5E-862D-395B353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NormalaftertitleChar">
    <w:name w:val="Normal after title Char"/>
    <w:basedOn w:val="DefaultParagraphFont"/>
    <w:link w:val="Normalaftertitle"/>
    <w:rsid w:val="004D6B18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4D6B18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4D6B18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rsid w:val="004D6B18"/>
    <w:rPr>
      <w:rFonts w:ascii="Times New Roman" w:hAnsi="Times New Roman"/>
      <w:caps/>
      <w:sz w:val="28"/>
      <w:lang w:val="es-ES_tradnl" w:eastAsia="en-US"/>
    </w:rPr>
  </w:style>
  <w:style w:type="character" w:customStyle="1" w:styleId="ApprefBold">
    <w:name w:val="App_ref + Bold"/>
    <w:qFormat/>
    <w:rsid w:val="002D1842"/>
    <w:rPr>
      <w:b/>
      <w:bCs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1527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278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R15-WRC15-C-0025!A22!MSW-S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94B54-21D5-4389-A7B5-FA746DD7B9FE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elements/1.1/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BE2381-B0C7-43A1-95A9-CCD834E4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1557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R15-WRC15-C-0025!A22!MSW-S</vt:lpstr>
    </vt:vector>
  </TitlesOfParts>
  <Manager>Secretaría General - Pool</Manager>
  <Company>Unión Internacional de Telecomunicaciones (UIT)</Company>
  <LinksUpToDate>false</LinksUpToDate>
  <CharactersWithSpaces>10513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R15-WRC15-C-0025!A22!MSW-S</dc:title>
  <dc:subject>Conferencia Mundial de Radiocomunicaciones - 2015</dc:subject>
  <dc:creator>Documents Proposals Manager (DPM)</dc:creator>
  <cp:keywords>DPM_v5.2015.9.16_prod</cp:keywords>
  <dc:description/>
  <cp:lastModifiedBy>Hernandez, Felipe</cp:lastModifiedBy>
  <cp:revision>4</cp:revision>
  <cp:lastPrinted>2015-10-07T12:05:00Z</cp:lastPrinted>
  <dcterms:created xsi:type="dcterms:W3CDTF">2015-10-07T14:37:00Z</dcterms:created>
  <dcterms:modified xsi:type="dcterms:W3CDTF">2015-10-07T14:58:00Z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