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horzAnchor="margin" w:tblpY="-674"/>
        <w:tblW w:w="10031" w:type="dxa"/>
        <w:tblLayout w:type="fixed"/>
        <w:tblLook w:val="0000" w:firstRow="0" w:lastRow="0" w:firstColumn="0" w:lastColumn="0" w:noHBand="0" w:noVBand="0"/>
      </w:tblPr>
      <w:tblGrid>
        <w:gridCol w:w="6804"/>
        <w:gridCol w:w="107"/>
        <w:gridCol w:w="3120"/>
      </w:tblGrid>
      <w:tr w:rsidR="0090121B" w:rsidRPr="00611DD1" w:rsidTr="00A330DF">
        <w:trPr>
          <w:cantSplit/>
        </w:trPr>
        <w:tc>
          <w:tcPr>
            <w:tcW w:w="6911" w:type="dxa"/>
            <w:gridSpan w:val="2"/>
          </w:tcPr>
          <w:p w:rsidR="0090121B" w:rsidRPr="00611DD1" w:rsidRDefault="005D46FB" w:rsidP="00A330DF">
            <w:pPr>
              <w:rPr>
                <w:rFonts w:ascii="Verdana" w:hAnsi="Verdana"/>
                <w:position w:val="6"/>
              </w:rPr>
            </w:pPr>
            <w:r w:rsidRPr="00611DD1">
              <w:rPr>
                <w:rFonts w:ascii="Verdana" w:hAnsi="Verdana" w:cs="Times"/>
                <w:b/>
                <w:position w:val="6"/>
                <w:sz w:val="20"/>
              </w:rPr>
              <w:t>Conferencia Mundial de Radiocomunicaciones (CMR-15)</w:t>
            </w:r>
            <w:r w:rsidRPr="00611DD1">
              <w:rPr>
                <w:rFonts w:ascii="Verdana" w:hAnsi="Verdana" w:cs="Times"/>
                <w:b/>
                <w:position w:val="6"/>
                <w:sz w:val="20"/>
              </w:rPr>
              <w:br/>
            </w:r>
            <w:r w:rsidRPr="00611DD1">
              <w:rPr>
                <w:rFonts w:ascii="Verdana" w:hAnsi="Verdana"/>
                <w:b/>
                <w:bCs/>
                <w:position w:val="6"/>
                <w:sz w:val="18"/>
                <w:szCs w:val="18"/>
              </w:rPr>
              <w:t>Ginebra, 2-27 de noviembre de 2015</w:t>
            </w:r>
          </w:p>
        </w:tc>
        <w:tc>
          <w:tcPr>
            <w:tcW w:w="3120" w:type="dxa"/>
          </w:tcPr>
          <w:p w:rsidR="0090121B" w:rsidRPr="00611DD1" w:rsidRDefault="00CE7431" w:rsidP="00A330DF">
            <w:bookmarkStart w:id="0" w:name="ditulogo"/>
            <w:bookmarkEnd w:id="0"/>
            <w:r w:rsidRPr="00611DD1">
              <w:rPr>
                <w:noProof/>
                <w:lang w:val="en-GB" w:eastAsia="zh-CN"/>
              </w:rPr>
              <w:drawing>
                <wp:inline distT="0" distB="0" distL="0" distR="0" wp14:anchorId="1751E16B" wp14:editId="3B4172D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11DD1" w:rsidTr="00A330DF">
        <w:trPr>
          <w:cantSplit/>
        </w:trPr>
        <w:tc>
          <w:tcPr>
            <w:tcW w:w="6911" w:type="dxa"/>
            <w:gridSpan w:val="2"/>
            <w:tcBorders>
              <w:bottom w:val="single" w:sz="12" w:space="0" w:color="auto"/>
            </w:tcBorders>
          </w:tcPr>
          <w:p w:rsidR="0090121B" w:rsidRPr="00611DD1" w:rsidRDefault="00CE7431" w:rsidP="00A330DF">
            <w:pPr>
              <w:rPr>
                <w:b/>
                <w:smallCaps/>
                <w:szCs w:val="24"/>
              </w:rPr>
            </w:pPr>
            <w:bookmarkStart w:id="1" w:name="dhead"/>
            <w:r w:rsidRPr="00611DD1">
              <w:rPr>
                <w:rFonts w:ascii="Verdana" w:hAnsi="Verdana"/>
                <w:b/>
                <w:smallCaps/>
                <w:sz w:val="20"/>
              </w:rPr>
              <w:t>UNIÓN INTERNACIONAL DE TELECOMUNICACIONES</w:t>
            </w:r>
          </w:p>
        </w:tc>
        <w:tc>
          <w:tcPr>
            <w:tcW w:w="3120" w:type="dxa"/>
            <w:tcBorders>
              <w:bottom w:val="single" w:sz="12" w:space="0" w:color="auto"/>
            </w:tcBorders>
          </w:tcPr>
          <w:p w:rsidR="0090121B" w:rsidRPr="00611DD1" w:rsidRDefault="0090121B" w:rsidP="00A330DF">
            <w:pPr>
              <w:rPr>
                <w:rFonts w:ascii="Verdana" w:hAnsi="Verdana"/>
                <w:szCs w:val="24"/>
              </w:rPr>
            </w:pPr>
          </w:p>
        </w:tc>
      </w:tr>
      <w:tr w:rsidR="0090121B" w:rsidRPr="00611DD1" w:rsidTr="00A330DF">
        <w:trPr>
          <w:cantSplit/>
        </w:trPr>
        <w:tc>
          <w:tcPr>
            <w:tcW w:w="6911" w:type="dxa"/>
            <w:gridSpan w:val="2"/>
            <w:tcBorders>
              <w:top w:val="single" w:sz="12" w:space="0" w:color="auto"/>
            </w:tcBorders>
          </w:tcPr>
          <w:p w:rsidR="0090121B" w:rsidRPr="00611DD1" w:rsidRDefault="0090121B" w:rsidP="00A330DF">
            <w:pPr>
              <w:rPr>
                <w:rFonts w:ascii="Verdana" w:hAnsi="Verdana"/>
                <w:b/>
                <w:smallCaps/>
                <w:sz w:val="20"/>
              </w:rPr>
            </w:pPr>
          </w:p>
        </w:tc>
        <w:tc>
          <w:tcPr>
            <w:tcW w:w="3120" w:type="dxa"/>
            <w:tcBorders>
              <w:top w:val="single" w:sz="12" w:space="0" w:color="auto"/>
            </w:tcBorders>
          </w:tcPr>
          <w:p w:rsidR="0090121B" w:rsidRPr="00611DD1" w:rsidRDefault="0090121B" w:rsidP="00A330DF">
            <w:pPr>
              <w:rPr>
                <w:rFonts w:ascii="Verdana" w:hAnsi="Verdana"/>
                <w:sz w:val="20"/>
              </w:rPr>
            </w:pPr>
          </w:p>
        </w:tc>
      </w:tr>
      <w:tr w:rsidR="0090121B" w:rsidRPr="00611DD1" w:rsidTr="00A330DF">
        <w:trPr>
          <w:cantSplit/>
        </w:trPr>
        <w:tc>
          <w:tcPr>
            <w:tcW w:w="6804" w:type="dxa"/>
            <w:shd w:val="clear" w:color="auto" w:fill="auto"/>
          </w:tcPr>
          <w:p w:rsidR="0090121B" w:rsidRPr="00611DD1" w:rsidRDefault="00AE658F" w:rsidP="00A330DF">
            <w:pPr>
              <w:pStyle w:val="Committee"/>
              <w:framePr w:hSpace="0" w:wrap="auto" w:hAnchor="text" w:yAlign="inline"/>
              <w:rPr>
                <w:rFonts w:ascii="Verdana" w:hAnsi="Verdana"/>
                <w:b w:val="0"/>
                <w:sz w:val="20"/>
              </w:rPr>
            </w:pPr>
            <w:r w:rsidRPr="00611DD1">
              <w:rPr>
                <w:rFonts w:ascii="Verdana" w:hAnsi="Verdana"/>
                <w:sz w:val="20"/>
              </w:rPr>
              <w:t xml:space="preserve">SESIÓN </w:t>
            </w:r>
            <w:r w:rsidRPr="00A330DF">
              <w:rPr>
                <w:rFonts w:ascii="Verdana" w:hAnsi="Verdana"/>
                <w:sz w:val="20"/>
                <w:szCs w:val="20"/>
              </w:rPr>
              <w:t>PLENARIA</w:t>
            </w:r>
          </w:p>
        </w:tc>
        <w:tc>
          <w:tcPr>
            <w:tcW w:w="3227" w:type="dxa"/>
            <w:gridSpan w:val="2"/>
            <w:shd w:val="clear" w:color="auto" w:fill="auto"/>
            <w:vAlign w:val="center"/>
          </w:tcPr>
          <w:p w:rsidR="0090121B" w:rsidRPr="00A330DF" w:rsidRDefault="00AE658F" w:rsidP="00A330DF">
            <w:pPr>
              <w:tabs>
                <w:tab w:val="left" w:pos="851"/>
              </w:tabs>
              <w:spacing w:before="0"/>
              <w:rPr>
                <w:rFonts w:ascii="Verdana" w:eastAsia="SimSun" w:hAnsi="Verdana" w:cs="Traditional Arabic"/>
                <w:b/>
                <w:sz w:val="20"/>
              </w:rPr>
            </w:pPr>
            <w:proofErr w:type="spellStart"/>
            <w:r w:rsidRPr="00A330DF">
              <w:rPr>
                <w:rFonts w:ascii="Verdana" w:eastAsia="SimSun" w:hAnsi="Verdana" w:cs="Traditional Arabic"/>
                <w:b/>
                <w:sz w:val="20"/>
              </w:rPr>
              <w:t>Addéndum</w:t>
            </w:r>
            <w:proofErr w:type="spellEnd"/>
            <w:r w:rsidRPr="00A330DF">
              <w:rPr>
                <w:rFonts w:ascii="Verdana" w:eastAsia="SimSun" w:hAnsi="Verdana" w:cs="Traditional Arabic"/>
                <w:b/>
                <w:sz w:val="20"/>
              </w:rPr>
              <w:t xml:space="preserve"> 1 al</w:t>
            </w:r>
            <w:r w:rsidRPr="00A330DF">
              <w:rPr>
                <w:rFonts w:ascii="Verdana" w:eastAsia="SimSun" w:hAnsi="Verdana" w:cs="Traditional Arabic"/>
                <w:b/>
                <w:sz w:val="20"/>
              </w:rPr>
              <w:br/>
              <w:t>Documento 25(Add.23)</w:t>
            </w:r>
            <w:r w:rsidR="0090121B" w:rsidRPr="00A330DF">
              <w:rPr>
                <w:rFonts w:ascii="Verdana" w:eastAsia="SimSun" w:hAnsi="Verdana" w:cs="Traditional Arabic"/>
                <w:b/>
                <w:sz w:val="20"/>
              </w:rPr>
              <w:t>-</w:t>
            </w:r>
            <w:r w:rsidRPr="00A330DF">
              <w:rPr>
                <w:rFonts w:ascii="Verdana" w:eastAsia="SimSun" w:hAnsi="Verdana" w:cs="Traditional Arabic"/>
                <w:b/>
                <w:sz w:val="20"/>
              </w:rPr>
              <w:t>S</w:t>
            </w:r>
          </w:p>
        </w:tc>
      </w:tr>
      <w:bookmarkEnd w:id="1"/>
      <w:tr w:rsidR="000A5B9A" w:rsidRPr="00611DD1" w:rsidTr="00A330DF">
        <w:trPr>
          <w:cantSplit/>
        </w:trPr>
        <w:tc>
          <w:tcPr>
            <w:tcW w:w="6804" w:type="dxa"/>
            <w:shd w:val="clear" w:color="auto" w:fill="auto"/>
            <w:vAlign w:val="center"/>
          </w:tcPr>
          <w:p w:rsidR="000A5B9A" w:rsidRPr="00611DD1" w:rsidRDefault="000A5B9A" w:rsidP="00A330DF">
            <w:pPr>
              <w:spacing w:before="0"/>
              <w:rPr>
                <w:rFonts w:ascii="Verdana" w:hAnsi="Verdana"/>
                <w:b/>
                <w:smallCaps/>
                <w:sz w:val="20"/>
              </w:rPr>
            </w:pPr>
          </w:p>
        </w:tc>
        <w:tc>
          <w:tcPr>
            <w:tcW w:w="3227" w:type="dxa"/>
            <w:gridSpan w:val="2"/>
            <w:shd w:val="clear" w:color="auto" w:fill="auto"/>
            <w:vAlign w:val="center"/>
          </w:tcPr>
          <w:p w:rsidR="000A5B9A" w:rsidRPr="00A330DF" w:rsidRDefault="000A5B9A" w:rsidP="00A330DF">
            <w:pPr>
              <w:tabs>
                <w:tab w:val="left" w:pos="851"/>
              </w:tabs>
              <w:spacing w:before="0"/>
              <w:rPr>
                <w:rFonts w:ascii="Verdana" w:eastAsia="SimSun" w:hAnsi="Verdana" w:cs="Traditional Arabic"/>
                <w:b/>
                <w:sz w:val="20"/>
                <w:lang w:val="en-GB"/>
              </w:rPr>
            </w:pPr>
            <w:r w:rsidRPr="00A330DF">
              <w:rPr>
                <w:rFonts w:ascii="Verdana" w:hAnsi="Verdana"/>
                <w:b/>
                <w:sz w:val="20"/>
                <w:lang w:val="en-GB"/>
              </w:rPr>
              <w:t>10</w:t>
            </w:r>
            <w:r w:rsidRPr="00A330DF">
              <w:rPr>
                <w:rFonts w:ascii="Verdana" w:eastAsia="SimSun" w:hAnsi="Verdana" w:cs="Traditional Arabic"/>
                <w:b/>
                <w:sz w:val="20"/>
                <w:lang w:val="en-GB"/>
              </w:rPr>
              <w:t xml:space="preserve"> de septiembre de 2015</w:t>
            </w:r>
          </w:p>
        </w:tc>
      </w:tr>
      <w:tr w:rsidR="000A5B9A" w:rsidRPr="00611DD1" w:rsidTr="00A330DF">
        <w:trPr>
          <w:cantSplit/>
        </w:trPr>
        <w:tc>
          <w:tcPr>
            <w:tcW w:w="6804" w:type="dxa"/>
            <w:vAlign w:val="center"/>
          </w:tcPr>
          <w:p w:rsidR="000A5B9A" w:rsidRPr="00611DD1" w:rsidRDefault="000A5B9A" w:rsidP="00A330DF">
            <w:pPr>
              <w:spacing w:before="0"/>
              <w:rPr>
                <w:rFonts w:ascii="Verdana" w:hAnsi="Verdana"/>
                <w:b/>
                <w:smallCaps/>
                <w:sz w:val="20"/>
              </w:rPr>
            </w:pPr>
          </w:p>
        </w:tc>
        <w:tc>
          <w:tcPr>
            <w:tcW w:w="3227" w:type="dxa"/>
            <w:gridSpan w:val="2"/>
            <w:vAlign w:val="center"/>
          </w:tcPr>
          <w:p w:rsidR="000A5B9A" w:rsidRPr="00A330DF" w:rsidRDefault="000A5B9A" w:rsidP="00A330DF">
            <w:pPr>
              <w:tabs>
                <w:tab w:val="left" w:pos="993"/>
              </w:tabs>
              <w:spacing w:before="0"/>
              <w:rPr>
                <w:rFonts w:ascii="Verdana" w:hAnsi="Verdana"/>
                <w:b/>
                <w:sz w:val="20"/>
                <w:lang w:val="en-GB"/>
              </w:rPr>
            </w:pPr>
            <w:r w:rsidRPr="00A330DF">
              <w:rPr>
                <w:rFonts w:ascii="Verdana" w:hAnsi="Verdana"/>
                <w:b/>
                <w:sz w:val="20"/>
                <w:lang w:val="en-GB"/>
              </w:rPr>
              <w:t>Original: árabe</w:t>
            </w:r>
          </w:p>
        </w:tc>
      </w:tr>
      <w:tr w:rsidR="000A5B9A" w:rsidRPr="00611DD1" w:rsidTr="00A330DF">
        <w:trPr>
          <w:cantSplit/>
        </w:trPr>
        <w:tc>
          <w:tcPr>
            <w:tcW w:w="10031" w:type="dxa"/>
            <w:gridSpan w:val="3"/>
          </w:tcPr>
          <w:p w:rsidR="000A5B9A" w:rsidRPr="00611DD1" w:rsidRDefault="000A5B9A" w:rsidP="00A330DF">
            <w:pPr>
              <w:rPr>
                <w:rFonts w:ascii="Verdana" w:hAnsi="Verdana"/>
                <w:b/>
                <w:sz w:val="20"/>
              </w:rPr>
            </w:pPr>
          </w:p>
        </w:tc>
      </w:tr>
      <w:tr w:rsidR="000A5B9A" w:rsidRPr="00611DD1" w:rsidTr="00A330DF">
        <w:trPr>
          <w:cantSplit/>
        </w:trPr>
        <w:tc>
          <w:tcPr>
            <w:tcW w:w="10031" w:type="dxa"/>
            <w:gridSpan w:val="3"/>
          </w:tcPr>
          <w:p w:rsidR="000A5B9A" w:rsidRPr="00611DD1" w:rsidRDefault="000A5B9A" w:rsidP="00A330DF">
            <w:pPr>
              <w:pStyle w:val="Source"/>
            </w:pPr>
            <w:bookmarkStart w:id="2" w:name="dsource" w:colFirst="0" w:colLast="0"/>
            <w:r w:rsidRPr="00611DD1">
              <w:t>Propuestas Comunes de los Estados Árabes</w:t>
            </w:r>
          </w:p>
        </w:tc>
      </w:tr>
      <w:tr w:rsidR="000A5B9A" w:rsidRPr="00611DD1" w:rsidTr="00A330DF">
        <w:trPr>
          <w:cantSplit/>
        </w:trPr>
        <w:tc>
          <w:tcPr>
            <w:tcW w:w="10031" w:type="dxa"/>
            <w:gridSpan w:val="3"/>
          </w:tcPr>
          <w:p w:rsidR="000A5B9A" w:rsidRPr="00611DD1" w:rsidRDefault="004126A7" w:rsidP="00A330DF">
            <w:pPr>
              <w:pStyle w:val="Title1"/>
            </w:pPr>
            <w:bookmarkStart w:id="3" w:name="dtitle1" w:colFirst="0" w:colLast="0"/>
            <w:bookmarkEnd w:id="2"/>
            <w:r w:rsidRPr="00611DD1">
              <w:t>propuestas para los trabajos de la conferencia</w:t>
            </w:r>
          </w:p>
        </w:tc>
      </w:tr>
      <w:tr w:rsidR="000A5B9A" w:rsidRPr="00611DD1" w:rsidTr="00A330DF">
        <w:trPr>
          <w:cantSplit/>
        </w:trPr>
        <w:tc>
          <w:tcPr>
            <w:tcW w:w="10031" w:type="dxa"/>
            <w:gridSpan w:val="3"/>
          </w:tcPr>
          <w:p w:rsidR="000A5B9A" w:rsidRPr="00611DD1" w:rsidRDefault="000A5B9A" w:rsidP="00A330DF">
            <w:pPr>
              <w:pStyle w:val="Title2"/>
            </w:pPr>
            <w:bookmarkStart w:id="4" w:name="dtitle2" w:colFirst="0" w:colLast="0"/>
            <w:bookmarkEnd w:id="3"/>
          </w:p>
        </w:tc>
      </w:tr>
      <w:tr w:rsidR="000A5B9A" w:rsidRPr="00611DD1" w:rsidTr="00A330DF">
        <w:trPr>
          <w:cantSplit/>
        </w:trPr>
        <w:tc>
          <w:tcPr>
            <w:tcW w:w="10031" w:type="dxa"/>
            <w:gridSpan w:val="3"/>
          </w:tcPr>
          <w:p w:rsidR="000A5B9A" w:rsidRPr="00611DD1" w:rsidRDefault="000A5B9A" w:rsidP="00A330DF">
            <w:pPr>
              <w:pStyle w:val="Agendaitem"/>
            </w:pPr>
            <w:bookmarkStart w:id="5" w:name="dtitle3" w:colFirst="0" w:colLast="0"/>
            <w:bookmarkEnd w:id="4"/>
            <w:r w:rsidRPr="00611DD1">
              <w:t>Punto 9.2(9.2.1) del orden del día</w:t>
            </w:r>
          </w:p>
        </w:tc>
      </w:tr>
    </w:tbl>
    <w:bookmarkEnd w:id="5"/>
    <w:p w:rsidR="00552535" w:rsidRPr="00611DD1" w:rsidRDefault="00A330DF" w:rsidP="00B60B2C">
      <w:r>
        <w:t>9.2(9.2.1)</w:t>
      </w:r>
      <w:r w:rsidR="00324706" w:rsidRPr="00611DD1">
        <w:tab/>
        <w:t>Tema relativo a la definición de las estaciones radioeléctricas que funcionan en el servicio de ayudas a la meteorología</w:t>
      </w:r>
    </w:p>
    <w:p w:rsidR="004126A7" w:rsidRPr="00611DD1" w:rsidRDefault="004126A7" w:rsidP="004126A7">
      <w:pPr>
        <w:pStyle w:val="Headingb"/>
      </w:pPr>
      <w:r w:rsidRPr="00611DD1">
        <w:t>Introducción</w:t>
      </w:r>
    </w:p>
    <w:p w:rsidR="004126A7" w:rsidRPr="00611DD1" w:rsidRDefault="004126A7" w:rsidP="004126A7">
      <w:r w:rsidRPr="00611DD1">
        <w:t>El objetivo de este punto del orden del día es resolver las dificultades o incoherencias observadas en la aplicación del Reglamento de Radiocomunicaciones. En la CMR</w:t>
      </w:r>
      <w:r w:rsidRPr="00611DD1">
        <w:rPr>
          <w:color w:val="000000"/>
        </w:rPr>
        <w:t xml:space="preserve">-12 se observó que el servicio de ayudas a la meteorología (número </w:t>
      </w:r>
      <w:r w:rsidRPr="00A330DF">
        <w:rPr>
          <w:bCs/>
          <w:color w:val="000000"/>
        </w:rPr>
        <w:t>1.50</w:t>
      </w:r>
      <w:r w:rsidRPr="00611DD1">
        <w:rPr>
          <w:b/>
          <w:color w:val="000000"/>
        </w:rPr>
        <w:t xml:space="preserve"> </w:t>
      </w:r>
      <w:r w:rsidRPr="00611DD1">
        <w:rPr>
          <w:bCs/>
          <w:color w:val="000000"/>
        </w:rPr>
        <w:t>del RR</w:t>
      </w:r>
      <w:r w:rsidRPr="00611DD1">
        <w:rPr>
          <w:color w:val="000000"/>
        </w:rPr>
        <w:t xml:space="preserve">) no dispone de una definición de estación de radiocomunicaciones correspondiente, con la excepción del término </w:t>
      </w:r>
      <w:r w:rsidRPr="00611DD1">
        <w:rPr>
          <w:i/>
          <w:iCs/>
          <w:color w:val="000000"/>
        </w:rPr>
        <w:t>radiosonda</w:t>
      </w:r>
      <w:r w:rsidRPr="00611DD1">
        <w:rPr>
          <w:color w:val="000000"/>
        </w:rPr>
        <w:t xml:space="preserve"> (número </w:t>
      </w:r>
      <w:r w:rsidRPr="00550A82">
        <w:rPr>
          <w:bCs/>
          <w:color w:val="000000"/>
        </w:rPr>
        <w:t>1.109</w:t>
      </w:r>
      <w:r w:rsidRPr="00611DD1">
        <w:rPr>
          <w:b/>
          <w:color w:val="000000"/>
        </w:rPr>
        <w:t xml:space="preserve"> </w:t>
      </w:r>
      <w:r w:rsidRPr="00611DD1">
        <w:rPr>
          <w:bCs/>
          <w:color w:val="000000"/>
        </w:rPr>
        <w:t>del RR</w:t>
      </w:r>
      <w:r w:rsidRPr="00611DD1">
        <w:rPr>
          <w:color w:val="000000"/>
        </w:rPr>
        <w:t>). Sin embargo, una radiosonda es un tipo de equipo (entre otros) del servicio de ayudas a la meteorología y no una estación de radiocomunicaciones. Dado que la mayoría de los servicios de radiocomunicaciones definidos en el Reglamento de Radiocomunicaciones disponen de una definición de sus correspondientes estaciones de radiocomunicaciones, la CMR</w:t>
      </w:r>
      <w:r w:rsidRPr="00611DD1">
        <w:t xml:space="preserve">-12 propuso nuevas definiciones para su incorporación en el Artículo </w:t>
      </w:r>
      <w:r w:rsidRPr="00550A82">
        <w:t>1</w:t>
      </w:r>
      <w:r w:rsidRPr="00611DD1">
        <w:t xml:space="preserve"> del Reglamento de Radiocomunicaciones con el fin de resolver esta incoherencia.</w:t>
      </w:r>
    </w:p>
    <w:p w:rsidR="004126A7" w:rsidRPr="00611DD1" w:rsidRDefault="004126A7" w:rsidP="00611DD1">
      <w:r w:rsidRPr="00611DD1">
        <w:t xml:space="preserve">La CMR-12 decidió aplazar su decisión a otra Conferencia competente a fin de que los expertos de las Comisiones de Estudio pertinentes del UIT-R pudieran preparar definiciones de estaciones de radiocomunicaciones relacionadas con el servicio de ayudas a la meteorología. Entretanto, la Oficina ha establecido dos clases de estación con los símbolos </w:t>
      </w:r>
      <w:r w:rsidR="00611DD1" w:rsidRPr="00611DD1">
        <w:t>«</w:t>
      </w:r>
      <w:r w:rsidRPr="00611DD1">
        <w:t>SM</w:t>
      </w:r>
      <w:r w:rsidR="00611DD1" w:rsidRPr="00611DD1">
        <w:t>»</w:t>
      </w:r>
      <w:r w:rsidRPr="00611DD1">
        <w:t xml:space="preserve"> y </w:t>
      </w:r>
      <w:r w:rsidR="00611DD1" w:rsidRPr="00611DD1">
        <w:t>«</w:t>
      </w:r>
      <w:r w:rsidRPr="00611DD1">
        <w:t>SA</w:t>
      </w:r>
      <w:r w:rsidR="00611DD1" w:rsidRPr="00611DD1">
        <w:t>»</w:t>
      </w:r>
      <w:r w:rsidRPr="00611DD1">
        <w:t>, correspondientes a la estación de base de ayudas a la meteorología (estación transmisora del servicio de ayudas a la meteorología) y a la estación móvil de ayudas a la meteorología (estación receptora del servicio de ayudas a la meteorología). Estas clases de estación se publican en el Prefacio a la BR IFIC (servicios terrenales), pero no figuran en el Reglamento de Radiocomunicaciones.</w:t>
      </w:r>
    </w:p>
    <w:p w:rsidR="004126A7" w:rsidRPr="00611DD1" w:rsidRDefault="004126A7" w:rsidP="004126A7">
      <w:r w:rsidRPr="00611DD1">
        <w:t xml:space="preserve">Así, las Administraciones de los Estados Árabes están a favor de la posible modificación del Artículo </w:t>
      </w:r>
      <w:r w:rsidRPr="00550A82">
        <w:t>1</w:t>
      </w:r>
      <w:r w:rsidRPr="00611DD1">
        <w:t xml:space="preserve"> del Reglamento de Radiocomunicaciones para incluir la definición de estación de radiocomunicaciones que funciona en el servicio de ayudas a la meteorología. Se propone añadir dos nuevas definiciones después del número </w:t>
      </w:r>
      <w:r w:rsidRPr="00550A82">
        <w:t xml:space="preserve">1.109 </w:t>
      </w:r>
      <w:r w:rsidRPr="00611DD1">
        <w:t>del RR.</w:t>
      </w:r>
    </w:p>
    <w:p w:rsidR="004126A7" w:rsidRPr="00611DD1" w:rsidRDefault="004126A7" w:rsidP="004126A7">
      <w:pPr>
        <w:pStyle w:val="Headingb"/>
      </w:pPr>
      <w:r w:rsidRPr="00611DD1">
        <w:t>Propuesta</w:t>
      </w:r>
      <w:r w:rsidRPr="00611DD1">
        <w:br w:type="page"/>
      </w:r>
    </w:p>
    <w:p w:rsidR="00F008F3" w:rsidRPr="00611DD1" w:rsidRDefault="00324706" w:rsidP="008964CA">
      <w:pPr>
        <w:pStyle w:val="ArtNo"/>
      </w:pPr>
      <w:r w:rsidRPr="00611DD1">
        <w:lastRenderedPageBreak/>
        <w:t xml:space="preserve">ARTÍCULO </w:t>
      </w:r>
      <w:r w:rsidRPr="00611DD1">
        <w:rPr>
          <w:rStyle w:val="href"/>
        </w:rPr>
        <w:t>1</w:t>
      </w:r>
    </w:p>
    <w:p w:rsidR="00F008F3" w:rsidRPr="00611DD1" w:rsidRDefault="00324706" w:rsidP="00D44B91">
      <w:pPr>
        <w:pStyle w:val="Arttitle"/>
      </w:pPr>
      <w:r w:rsidRPr="00611DD1">
        <w:t>Términos y definiciones</w:t>
      </w:r>
    </w:p>
    <w:p w:rsidR="00F008F3" w:rsidRPr="00611DD1" w:rsidRDefault="00324706" w:rsidP="00C070E9">
      <w:pPr>
        <w:pStyle w:val="Section1"/>
      </w:pPr>
      <w:r w:rsidRPr="00611DD1">
        <w:t>Sección IV – Estaciones y sistemas radioeléctricos</w:t>
      </w:r>
    </w:p>
    <w:p w:rsidR="00FB27D5" w:rsidRPr="00611DD1" w:rsidRDefault="00324706">
      <w:pPr>
        <w:pStyle w:val="Proposal"/>
      </w:pPr>
      <w:r w:rsidRPr="00611DD1">
        <w:t>ADD</w:t>
      </w:r>
      <w:r w:rsidRPr="00611DD1">
        <w:tab/>
        <w:t>ARB/25A23A1/1</w:t>
      </w:r>
    </w:p>
    <w:p w:rsidR="00FB27D5" w:rsidRPr="00611DD1" w:rsidRDefault="00324706" w:rsidP="004126A7">
      <w:r w:rsidRPr="00611DD1">
        <w:rPr>
          <w:rStyle w:val="Artdef"/>
        </w:rPr>
        <w:t>1.109</w:t>
      </w:r>
      <w:r w:rsidRPr="00324706">
        <w:rPr>
          <w:rStyle w:val="Artdef"/>
          <w:i/>
          <w:iCs/>
        </w:rPr>
        <w:t>bis</w:t>
      </w:r>
      <w:r w:rsidR="004126A7" w:rsidRPr="00611DD1">
        <w:tab/>
      </w:r>
      <w:r w:rsidR="004126A7" w:rsidRPr="00611DD1">
        <w:tab/>
      </w:r>
      <w:r w:rsidR="004126A7" w:rsidRPr="00611DD1">
        <w:rPr>
          <w:i/>
          <w:iCs/>
          <w:szCs w:val="24"/>
        </w:rPr>
        <w:t>estación terrestre de ayudas a la meteorología:</w:t>
      </w:r>
      <w:r w:rsidR="004126A7" w:rsidRPr="00611DD1">
        <w:rPr>
          <w:szCs w:val="24"/>
        </w:rPr>
        <w:t>  </w:t>
      </w:r>
      <w:r w:rsidR="004126A7" w:rsidRPr="00611DD1">
        <w:rPr>
          <w:i/>
          <w:iCs/>
          <w:szCs w:val="24"/>
        </w:rPr>
        <w:t xml:space="preserve">Estación </w:t>
      </w:r>
      <w:r w:rsidR="004126A7" w:rsidRPr="00611DD1">
        <w:rPr>
          <w:szCs w:val="24"/>
        </w:rPr>
        <w:t xml:space="preserve">del </w:t>
      </w:r>
      <w:r w:rsidR="004126A7" w:rsidRPr="00611DD1">
        <w:rPr>
          <w:i/>
          <w:iCs/>
          <w:szCs w:val="24"/>
        </w:rPr>
        <w:t xml:space="preserve">servicio de ayudas a la meteorología </w:t>
      </w:r>
      <w:r w:rsidR="004126A7" w:rsidRPr="00611DD1">
        <w:rPr>
          <w:szCs w:val="24"/>
        </w:rPr>
        <w:t>no destinada a utilizarse en movimiento</w:t>
      </w:r>
      <w:r w:rsidR="004126A7" w:rsidRPr="00611DD1">
        <w:t>.</w:t>
      </w:r>
    </w:p>
    <w:p w:rsidR="00FB27D5" w:rsidRPr="00611DD1" w:rsidRDefault="00FB27D5">
      <w:pPr>
        <w:pStyle w:val="Reasons"/>
      </w:pPr>
    </w:p>
    <w:p w:rsidR="00FB27D5" w:rsidRPr="00611DD1" w:rsidRDefault="00324706">
      <w:pPr>
        <w:pStyle w:val="Proposal"/>
      </w:pPr>
      <w:r w:rsidRPr="00611DD1">
        <w:t>ADD</w:t>
      </w:r>
      <w:r w:rsidRPr="00611DD1">
        <w:tab/>
        <w:t>ARB/25A23A1/2</w:t>
      </w:r>
    </w:p>
    <w:p w:rsidR="004126A7" w:rsidRPr="00611DD1" w:rsidRDefault="00324706" w:rsidP="00D035B0">
      <w:r w:rsidRPr="00611DD1">
        <w:rPr>
          <w:rStyle w:val="Artdef"/>
        </w:rPr>
        <w:t>1.109</w:t>
      </w:r>
      <w:r w:rsidRPr="00324706">
        <w:rPr>
          <w:rStyle w:val="Artdef"/>
          <w:i/>
          <w:iCs/>
        </w:rPr>
        <w:t>ter</w:t>
      </w:r>
      <w:r w:rsidR="004126A7" w:rsidRPr="00611DD1">
        <w:tab/>
      </w:r>
      <w:r w:rsidR="004126A7" w:rsidRPr="00611DD1">
        <w:tab/>
      </w:r>
      <w:r w:rsidR="004126A7" w:rsidRPr="00611DD1">
        <w:rPr>
          <w:i/>
          <w:iCs/>
        </w:rPr>
        <w:t>est</w:t>
      </w:r>
      <w:bookmarkStart w:id="6" w:name="_GoBack"/>
      <w:bookmarkEnd w:id="6"/>
      <w:r w:rsidR="004126A7" w:rsidRPr="00611DD1">
        <w:rPr>
          <w:i/>
          <w:iCs/>
        </w:rPr>
        <w:t>ación móvil de ayudas a la meteorología:</w:t>
      </w:r>
      <w:r w:rsidR="004126A7" w:rsidRPr="00611DD1">
        <w:t>  </w:t>
      </w:r>
      <w:r w:rsidR="004126A7" w:rsidRPr="00611DD1">
        <w:rPr>
          <w:i/>
          <w:iCs/>
        </w:rPr>
        <w:t xml:space="preserve">Estación </w:t>
      </w:r>
      <w:r w:rsidR="004126A7" w:rsidRPr="00611DD1">
        <w:t xml:space="preserve">del </w:t>
      </w:r>
      <w:r w:rsidR="004126A7" w:rsidRPr="00611DD1">
        <w:rPr>
          <w:i/>
        </w:rPr>
        <w:t xml:space="preserve">servicio de ayudas a la </w:t>
      </w:r>
      <w:r w:rsidR="004126A7" w:rsidRPr="00D035B0">
        <w:rPr>
          <w:i/>
          <w:iCs/>
          <w:szCs w:val="24"/>
        </w:rPr>
        <w:t>meteorología</w:t>
      </w:r>
      <w:r w:rsidR="004126A7" w:rsidRPr="00611DD1">
        <w:rPr>
          <w:lang w:eastAsia="en-CA"/>
        </w:rPr>
        <w:t xml:space="preserve"> destinada a utilizarse en movimiento o durante paradas en puntos no especificados</w:t>
      </w:r>
      <w:r w:rsidR="004126A7" w:rsidRPr="00611DD1">
        <w:t>.</w:t>
      </w:r>
    </w:p>
    <w:p w:rsidR="004126A7" w:rsidRPr="00611DD1" w:rsidRDefault="004126A7" w:rsidP="0032202E">
      <w:pPr>
        <w:pStyle w:val="Reasons"/>
      </w:pPr>
    </w:p>
    <w:p w:rsidR="004126A7" w:rsidRDefault="004126A7" w:rsidP="009651D9">
      <w:pPr>
        <w:jc w:val="center"/>
      </w:pPr>
      <w:r w:rsidRPr="00611DD1">
        <w:t>______________</w:t>
      </w:r>
    </w:p>
    <w:p w:rsidR="00324706" w:rsidRPr="00611DD1" w:rsidRDefault="00324706" w:rsidP="00611DD1"/>
    <w:sectPr w:rsidR="00324706" w:rsidRPr="00611DD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330DF">
      <w:rPr>
        <w:noProof/>
      </w:rPr>
      <w:t>21.10.15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A0" w:rsidRDefault="002569A0" w:rsidP="002569A0">
    <w:pPr>
      <w:pStyle w:val="Footer"/>
    </w:pPr>
    <w:fldSimple w:instr=" FILENAME \p  \* MERGEFORMAT ">
      <w:r>
        <w:t>P:\ESP\ITU-R\CONF-R\CMR15\000\025ADD23ADD01S.docx</w:t>
      </w:r>
    </w:fldSimple>
    <w:r>
      <w:t xml:space="preserve"> (386906)</w:t>
    </w:r>
    <w:r>
      <w:tab/>
    </w:r>
    <w:r>
      <w:fldChar w:fldCharType="begin"/>
    </w:r>
    <w:r>
      <w:instrText xml:space="preserve"> SAVEDATE \@ DD.MM.YY </w:instrText>
    </w:r>
    <w:r>
      <w:fldChar w:fldCharType="separate"/>
    </w:r>
    <w:r w:rsidR="00A330DF">
      <w:t>21.10.15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A0" w:rsidRDefault="00D035B0">
    <w:pPr>
      <w:pStyle w:val="Footer"/>
    </w:pPr>
    <w:r>
      <w:fldChar w:fldCharType="begin"/>
    </w:r>
    <w:r>
      <w:instrText xml:space="preserve"> FILENAME \p  \* MERGEFORMAT </w:instrText>
    </w:r>
    <w:r>
      <w:fldChar w:fldCharType="separate"/>
    </w:r>
    <w:r w:rsidR="002569A0">
      <w:t>P:\ESP\ITU-R\CONF-R\CMR15\000\025ADD23ADD01S.docx</w:t>
    </w:r>
    <w:r>
      <w:fldChar w:fldCharType="end"/>
    </w:r>
    <w:r w:rsidR="002569A0">
      <w:t xml:space="preserve"> (386906)</w:t>
    </w:r>
    <w:r w:rsidR="002569A0">
      <w:tab/>
    </w:r>
    <w:r w:rsidR="002569A0">
      <w:fldChar w:fldCharType="begin"/>
    </w:r>
    <w:r w:rsidR="002569A0">
      <w:instrText xml:space="preserve"> SAVEDATE \@ DD.MM.YY </w:instrText>
    </w:r>
    <w:r w:rsidR="002569A0">
      <w:fldChar w:fldCharType="separate"/>
    </w:r>
    <w:r w:rsidR="00A330DF">
      <w:t>21.10.15</w:t>
    </w:r>
    <w:r w:rsidR="002569A0">
      <w:fldChar w:fldCharType="end"/>
    </w:r>
    <w:r w:rsidR="002569A0">
      <w:tab/>
    </w:r>
    <w:r w:rsidR="002569A0">
      <w:fldChar w:fldCharType="begin"/>
    </w:r>
    <w:r w:rsidR="002569A0">
      <w:instrText xml:space="preserve"> PRINTDATE \@ DD.MM.YY </w:instrText>
    </w:r>
    <w:r w:rsidR="002569A0">
      <w:fldChar w:fldCharType="separate"/>
    </w:r>
    <w:r w:rsidR="002569A0">
      <w:t>19.02.03</w:t>
    </w:r>
    <w:r w:rsidR="002569A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035B0">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25(Add.23)(Add.1)-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569A0"/>
    <w:rsid w:val="00262C09"/>
    <w:rsid w:val="002A791F"/>
    <w:rsid w:val="002C1B26"/>
    <w:rsid w:val="002C5D6C"/>
    <w:rsid w:val="002E701F"/>
    <w:rsid w:val="00324706"/>
    <w:rsid w:val="003248A9"/>
    <w:rsid w:val="00324FFA"/>
    <w:rsid w:val="0032680B"/>
    <w:rsid w:val="00363A65"/>
    <w:rsid w:val="003B1E8C"/>
    <w:rsid w:val="003C2508"/>
    <w:rsid w:val="003D0AA3"/>
    <w:rsid w:val="003F30BB"/>
    <w:rsid w:val="004126A7"/>
    <w:rsid w:val="00440B3A"/>
    <w:rsid w:val="0045384C"/>
    <w:rsid w:val="00454553"/>
    <w:rsid w:val="004B124A"/>
    <w:rsid w:val="005133B5"/>
    <w:rsid w:val="00532097"/>
    <w:rsid w:val="00550A82"/>
    <w:rsid w:val="0058350F"/>
    <w:rsid w:val="00583C7E"/>
    <w:rsid w:val="005D46FB"/>
    <w:rsid w:val="005F2605"/>
    <w:rsid w:val="005F3B0E"/>
    <w:rsid w:val="005F559C"/>
    <w:rsid w:val="00611DD1"/>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651D9"/>
    <w:rsid w:val="00973754"/>
    <w:rsid w:val="009C0BED"/>
    <w:rsid w:val="009E11EC"/>
    <w:rsid w:val="00A118DB"/>
    <w:rsid w:val="00A330DF"/>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035B0"/>
    <w:rsid w:val="00D72A5D"/>
    <w:rsid w:val="00DC629B"/>
    <w:rsid w:val="00E05BFF"/>
    <w:rsid w:val="00E262F1"/>
    <w:rsid w:val="00E3176A"/>
    <w:rsid w:val="00E54754"/>
    <w:rsid w:val="00E56BD3"/>
    <w:rsid w:val="00E71D14"/>
    <w:rsid w:val="00F66597"/>
    <w:rsid w:val="00F675D0"/>
    <w:rsid w:val="00F8150C"/>
    <w:rsid w:val="00FB27D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F973D3-3828-48A0-B58F-952E8FBD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R15-WRC15-C-0025!A23-A1!MSW-S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0493F557-51C2-4317-BF0B-010C5E4C34BA}">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32a1a8c5-2265-4ebc-b7a0-2071e2c5c9bb"/>
    <ds:schemaRef ds:uri="http://schemas.microsoft.com/office/infopath/2007/PartnerControls"/>
    <ds:schemaRef ds:uri="996b2e75-67fd-4955-a3b0-5ab9934cb50b"/>
    <ds:schemaRef ds:uri="http://purl.org/dc/terms/"/>
  </ds:schemaRefs>
</ds:datastoreItem>
</file>

<file path=customXml/itemProps5.xml><?xml version="1.0" encoding="utf-8"?>
<ds:datastoreItem xmlns:ds="http://schemas.openxmlformats.org/officeDocument/2006/customXml" ds:itemID="{9A07F71E-27DD-411E-9B8E-492BB5A3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436</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R15-WRC15-C-0025!A23-A1!MSW-S</vt:lpstr>
    </vt:vector>
  </TitlesOfParts>
  <Manager>Secretaría General - Pool</Manager>
  <Company>Unión Internacional de Telecomunicaciones (UIT)</Company>
  <LinksUpToDate>false</LinksUpToDate>
  <CharactersWithSpaces>2971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R15-WRC15-C-0025!A23-A1!MSW-S</dc:title>
  <dc:subject>Conferencia Mundial de Radiocomunicaciones - 2015</dc:subject>
  <dc:creator>Documents Proposals Manager (DPM)</dc:creator>
  <cp:keywords>DPM_v5.2015.10.15_prod</cp:keywords>
  <dc:description/>
  <cp:lastModifiedBy>Spanish</cp:lastModifiedBy>
  <cp:revision>10</cp:revision>
  <cp:lastPrinted>2003-02-19T20:20:00Z</cp:lastPrinted>
  <dcterms:created xsi:type="dcterms:W3CDTF">2015-10-21T11:18:00Z</dcterms:created>
  <dcterms:modified xsi:type="dcterms:W3CDTF">2015-10-23T08:02:00Z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