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15641C14" w14:textId="77777777" w:rsidTr="0050008E">
        <w:trPr>
          <w:cantSplit/>
        </w:trPr>
        <w:tc>
          <w:tcPr>
            <w:tcW w:w="6911" w:type="dxa"/>
          </w:tcPr>
          <w:p w14:paraId="7F7E2C8C" w14:textId="77777777"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267FF198" w14:textId="77777777"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E7CDC5C" wp14:editId="471EA30B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17EFA93B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C95E629" w14:textId="77777777"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DAB83E4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265E92A5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03C0962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A40E358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487D71CB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152C782B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660AD43F" w14:textId="77777777"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26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</w:t>
            </w:r>
            <w:bookmarkStart w:id="2" w:name="_GoBack"/>
            <w:bookmarkEnd w:id="2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ment 25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14:paraId="48F1B421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0F834AB9" w14:textId="77777777"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AD643BE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10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septembre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14:paraId="309820D9" w14:textId="77777777" w:rsidTr="00BB1D82">
        <w:trPr>
          <w:cantSplit/>
        </w:trPr>
        <w:tc>
          <w:tcPr>
            <w:tcW w:w="6911" w:type="dxa"/>
          </w:tcPr>
          <w:p w14:paraId="7B98233C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168CBF6B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arabe</w:t>
            </w:r>
            <w:proofErr w:type="spellEnd"/>
          </w:p>
        </w:tc>
      </w:tr>
      <w:tr w:rsidR="00690C7B" w:rsidRPr="002A6F8F" w14:paraId="0A512492" w14:textId="77777777" w:rsidTr="00C11970">
        <w:trPr>
          <w:cantSplit/>
        </w:trPr>
        <w:tc>
          <w:tcPr>
            <w:tcW w:w="10031" w:type="dxa"/>
            <w:gridSpan w:val="2"/>
          </w:tcPr>
          <w:p w14:paraId="5730E86B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755388BC" w14:textId="77777777" w:rsidTr="0050008E">
        <w:trPr>
          <w:cantSplit/>
        </w:trPr>
        <w:tc>
          <w:tcPr>
            <w:tcW w:w="10031" w:type="dxa"/>
            <w:gridSpan w:val="2"/>
          </w:tcPr>
          <w:p w14:paraId="65F4A464" w14:textId="77777777" w:rsidR="00690C7B" w:rsidRPr="005F2E7D" w:rsidRDefault="00690C7B" w:rsidP="00690C7B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5F2E7D">
              <w:rPr>
                <w:lang w:val="fr-CH"/>
              </w:rPr>
              <w:t xml:space="preserve">Propositions communes des </w:t>
            </w:r>
            <w:proofErr w:type="spellStart"/>
            <w:r w:rsidRPr="005F2E7D">
              <w:rPr>
                <w:lang w:val="fr-CH"/>
              </w:rPr>
              <w:t>Etats</w:t>
            </w:r>
            <w:proofErr w:type="spellEnd"/>
            <w:r w:rsidRPr="005F2E7D">
              <w:rPr>
                <w:lang w:val="fr-CH"/>
              </w:rPr>
              <w:t xml:space="preserve"> arabes</w:t>
            </w:r>
          </w:p>
        </w:tc>
      </w:tr>
      <w:tr w:rsidR="00690C7B" w:rsidRPr="002A6F8F" w14:paraId="57026B2D" w14:textId="77777777" w:rsidTr="0050008E">
        <w:trPr>
          <w:cantSplit/>
        </w:trPr>
        <w:tc>
          <w:tcPr>
            <w:tcW w:w="10031" w:type="dxa"/>
            <w:gridSpan w:val="2"/>
          </w:tcPr>
          <w:p w14:paraId="20B19088" w14:textId="77777777" w:rsidR="00690C7B" w:rsidRPr="005F2E7D" w:rsidRDefault="005F2E7D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5F2E7D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48E95B22" w14:textId="77777777" w:rsidTr="0050008E">
        <w:trPr>
          <w:cantSplit/>
        </w:trPr>
        <w:tc>
          <w:tcPr>
            <w:tcW w:w="10031" w:type="dxa"/>
            <w:gridSpan w:val="2"/>
          </w:tcPr>
          <w:p w14:paraId="12D678EA" w14:textId="77777777" w:rsidR="00690C7B" w:rsidRPr="005F2E7D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14:paraId="09E64434" w14:textId="77777777" w:rsidTr="0050008E">
        <w:trPr>
          <w:cantSplit/>
        </w:trPr>
        <w:tc>
          <w:tcPr>
            <w:tcW w:w="10031" w:type="dxa"/>
            <w:gridSpan w:val="2"/>
          </w:tcPr>
          <w:p w14:paraId="3B5A150C" w14:textId="77777777"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GFT(PP-14) de l'ordre du jour</w:t>
            </w:r>
          </w:p>
        </w:tc>
      </w:tr>
    </w:tbl>
    <w:bookmarkEnd w:id="6"/>
    <w:p w14:paraId="3306A3CF" w14:textId="0F10018B" w:rsidR="00416315" w:rsidRDefault="0014120B" w:rsidP="00416315">
      <w:r>
        <w:rPr>
          <w:lang w:val="fr-CH"/>
        </w:rPr>
        <w:t xml:space="preserve">Résolution 185 (Busan, 2014) </w:t>
      </w:r>
      <w:r>
        <w:rPr>
          <w:lang w:val="fr-CH"/>
        </w:rPr>
        <w:tab/>
      </w:r>
      <w:r w:rsidRPr="009B3441">
        <w:rPr>
          <w:rFonts w:hint="eastAsia"/>
          <w:lang w:val="fr-CH"/>
        </w:rPr>
        <w:t xml:space="preserve">Suivi des vols à l'échelle mondiale pour l'aviation civile - La Conférence de plénipotentiaires de l'Union internationale des télécommunications (Busan, </w:t>
      </w:r>
      <w:r>
        <w:rPr>
          <w:rFonts w:hint="eastAsia"/>
          <w:lang w:val="fr-CH"/>
        </w:rPr>
        <w:t>2014), décide de charger la CMR</w:t>
      </w:r>
      <w:r>
        <w:rPr>
          <w:lang w:val="fr-CH"/>
        </w:rPr>
        <w:t>-</w:t>
      </w:r>
      <w:r w:rsidRPr="009B3441">
        <w:rPr>
          <w:rFonts w:hint="eastAsia"/>
          <w:lang w:val="fr-CH"/>
        </w:rPr>
        <w:t>15, conformément au numéro 119 de la Convention de l'UIT, d'inscrire, d'urgence, à son ordre du jour la question du suivi des vols à l'échelle mondiale, y compris, s'il y a lieu et conformément aux pratiques suivies par l'UIT, divers aspects de cette question, compte tenu des études de l'UIT</w:t>
      </w:r>
      <w:r>
        <w:rPr>
          <w:rFonts w:hint="eastAsia"/>
          <w:lang w:val="fr-CH"/>
        </w:rPr>
        <w:t>-</w:t>
      </w:r>
      <w:r w:rsidRPr="009B3441">
        <w:rPr>
          <w:rFonts w:hint="eastAsia"/>
          <w:lang w:val="fr-CH"/>
        </w:rPr>
        <w:t>R,</w:t>
      </w:r>
      <w:r w:rsidR="00416315" w:rsidRPr="00416315">
        <w:t xml:space="preserve"> </w:t>
      </w:r>
    </w:p>
    <w:p w14:paraId="20C70B7A" w14:textId="77777777" w:rsidR="00416315" w:rsidRPr="00416315" w:rsidRDefault="00416315" w:rsidP="0041631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14:paraId="013F8F4B" w14:textId="77777777" w:rsidR="005F2E7D" w:rsidRPr="009B3441" w:rsidRDefault="005F2E7D" w:rsidP="005F2E7D">
      <w:pPr>
        <w:pStyle w:val="Headingb"/>
        <w:rPr>
          <w:lang w:val="fr-CH"/>
        </w:rPr>
      </w:pPr>
      <w:r>
        <w:rPr>
          <w:lang w:val="fr-CH"/>
        </w:rPr>
        <w:t>Introduction</w:t>
      </w:r>
    </w:p>
    <w:p w14:paraId="7E68EF7B" w14:textId="5D132B6E" w:rsidR="003A583E" w:rsidRDefault="005F2E7D" w:rsidP="00695D5B">
      <w:r w:rsidRPr="0078369D">
        <w:t>La Conférence de plénipotentiaires de 2014 de l</w:t>
      </w:r>
      <w:r w:rsidR="00416315">
        <w:t>'</w:t>
      </w:r>
      <w:r w:rsidRPr="0078369D">
        <w:t xml:space="preserve">UIT (PP-14) a </w:t>
      </w:r>
      <w:r w:rsidR="00D65D65">
        <w:t>chargé</w:t>
      </w:r>
      <w:r w:rsidRPr="0078369D">
        <w:t xml:space="preserve"> la CMR-15, conformément au n</w:t>
      </w:r>
      <w:r w:rsidR="00416315">
        <w:t>uméro</w:t>
      </w:r>
      <w:r w:rsidRPr="0078369D">
        <w:t xml:space="preserve"> 119 de la Convention de l</w:t>
      </w:r>
      <w:r w:rsidR="00416315">
        <w:t>'</w:t>
      </w:r>
      <w:r w:rsidRPr="0078369D">
        <w:t>UIT</w:t>
      </w:r>
      <w:r w:rsidRPr="00416315">
        <w:t xml:space="preserve">, </w:t>
      </w:r>
      <w:r w:rsidR="00695D5B">
        <w:t>«</w:t>
      </w:r>
      <w:r w:rsidRPr="00416315">
        <w:t>d</w:t>
      </w:r>
      <w:r w:rsidR="00416315">
        <w:t>'</w:t>
      </w:r>
      <w:r w:rsidRPr="00416315">
        <w:t>inscrire d</w:t>
      </w:r>
      <w:r w:rsidR="00416315">
        <w:t>'</w:t>
      </w:r>
      <w:r w:rsidRPr="00416315">
        <w:t>urgence, à son ordre du jour, la question du suivi des vols à l</w:t>
      </w:r>
      <w:r w:rsidR="00416315">
        <w:t>'</w:t>
      </w:r>
      <w:r w:rsidRPr="00416315">
        <w:t>échelle mondiale, y compris, s</w:t>
      </w:r>
      <w:r w:rsidR="00416315">
        <w:t>'</w:t>
      </w:r>
      <w:r w:rsidRPr="00416315">
        <w:t>il y a lieu et conformément aux pratiques suivies par l</w:t>
      </w:r>
      <w:r w:rsidR="00416315">
        <w:t>'</w:t>
      </w:r>
      <w:r w:rsidRPr="00416315">
        <w:t>UIT, divers aspects de cette question, compte tenu des études de l</w:t>
      </w:r>
      <w:r w:rsidR="00416315">
        <w:t>'</w:t>
      </w:r>
      <w:r w:rsidRPr="00416315">
        <w:t>UIT-R</w:t>
      </w:r>
      <w:r w:rsidR="00695D5B">
        <w:t>»</w:t>
      </w:r>
      <w:r w:rsidRPr="00416315">
        <w:t>.</w:t>
      </w:r>
    </w:p>
    <w:p w14:paraId="1AB84D94" w14:textId="77777777" w:rsidR="00D65D65" w:rsidRDefault="00D65D65" w:rsidP="00416315">
      <w:r>
        <w:t xml:space="preserve">Les administrations des </w:t>
      </w:r>
      <w:proofErr w:type="spellStart"/>
      <w:r>
        <w:t>Etats</w:t>
      </w:r>
      <w:proofErr w:type="spellEnd"/>
      <w:r>
        <w:t xml:space="preserve"> arabes ont soumis un </w:t>
      </w:r>
      <w:r>
        <w:rPr>
          <w:color w:val="000000"/>
        </w:rPr>
        <w:t xml:space="preserve">projet de nouvelle Résolution </w:t>
      </w:r>
      <w:r w:rsidRPr="00D65D65">
        <w:rPr>
          <w:lang w:val="fr-CH"/>
        </w:rPr>
        <w:t xml:space="preserve">[ARB-2] </w:t>
      </w:r>
      <w:r>
        <w:rPr>
          <w:color w:val="000000"/>
        </w:rPr>
        <w:t>à la Conférence de Busan, affirmant:</w:t>
      </w:r>
    </w:p>
    <w:p w14:paraId="2B84EA94" w14:textId="08531BD0" w:rsidR="001337A1" w:rsidRPr="00416315" w:rsidRDefault="001337A1" w:rsidP="00416315">
      <w:pPr>
        <w:pStyle w:val="enumlev1"/>
        <w:rPr>
          <w:lang w:val="fr-CH"/>
        </w:rPr>
      </w:pPr>
      <w:r w:rsidRPr="00E54098">
        <w:t>•</w:t>
      </w:r>
      <w:r w:rsidRPr="00E54098">
        <w:tab/>
      </w:r>
      <w:r w:rsidR="0010004C">
        <w:t>qu</w:t>
      </w:r>
      <w:r w:rsidR="00416315">
        <w:t>'</w:t>
      </w:r>
      <w:r w:rsidR="0010004C">
        <w:t xml:space="preserve">il est important </w:t>
      </w:r>
      <w:r w:rsidR="0010004C" w:rsidRPr="00416315">
        <w:t>d</w:t>
      </w:r>
      <w:r w:rsidR="00416315">
        <w:t>'</w:t>
      </w:r>
      <w:r w:rsidR="0010004C" w:rsidRPr="00416315">
        <w:t xml:space="preserve">étudier </w:t>
      </w:r>
      <w:r w:rsidRPr="00416315">
        <w:rPr>
          <w:lang w:val="fr-CH"/>
        </w:rPr>
        <w:t xml:space="preserve">ce sujet, en lui accordant la priorité absolue, </w:t>
      </w:r>
      <w:r w:rsidR="00D65D65" w:rsidRPr="00416315">
        <w:rPr>
          <w:lang w:val="fr-CH"/>
        </w:rPr>
        <w:t xml:space="preserve">et </w:t>
      </w:r>
      <w:r w:rsidRPr="00416315">
        <w:rPr>
          <w:lang w:val="fr-CH"/>
        </w:rPr>
        <w:t>d'examiner les bandes de fréquences attribuées actuellement aux services aéronautiques concernant cette question ainsi que les autres besoins éventuels;</w:t>
      </w:r>
    </w:p>
    <w:p w14:paraId="2527F201" w14:textId="59926572" w:rsidR="001337A1" w:rsidRPr="00416315" w:rsidRDefault="001337A1" w:rsidP="00416315">
      <w:pPr>
        <w:pStyle w:val="enumlev1"/>
        <w:rPr>
          <w:lang w:val="fr-CH" w:eastAsia="zh-CN"/>
        </w:rPr>
      </w:pPr>
      <w:r w:rsidRPr="00416315">
        <w:t>•</w:t>
      </w:r>
      <w:r w:rsidRPr="00416315">
        <w:tab/>
      </w:r>
      <w:r w:rsidRPr="00416315">
        <w:rPr>
          <w:lang w:val="fr-CH" w:eastAsia="zh-CN"/>
        </w:rPr>
        <w:t>que la détermination et le suivi de la trajectoire des vols des aéronefs civils contribueront directement à l'amélioration des pratiques et des systèmes en matière de sécurité ainsi que de sûreté aérienne, ce qui pourrait permettre de réduire le nombre d'accidents d'avion;</w:t>
      </w:r>
    </w:p>
    <w:p w14:paraId="087BD9B9" w14:textId="77777777" w:rsidR="001337A1" w:rsidRDefault="001337A1" w:rsidP="00416315">
      <w:pPr>
        <w:pStyle w:val="enumlev1"/>
        <w:rPr>
          <w:lang w:val="fr-CH" w:eastAsia="zh-CN"/>
        </w:rPr>
      </w:pPr>
      <w:r w:rsidRPr="00416315">
        <w:t>•</w:t>
      </w:r>
      <w:r w:rsidRPr="00416315">
        <w:tab/>
      </w:r>
      <w:r w:rsidRPr="00416315">
        <w:rPr>
          <w:lang w:val="fr-CH" w:eastAsia="zh-CN"/>
        </w:rPr>
        <w:t>que la mise en œuvre d'un système évolué de suivi de la trajectoire des vols des aéronefs civils par satellite contribuera à améliorer les moyens permettant de déterminer en permanence et avec une très grande précision la position des aéronefs.</w:t>
      </w:r>
    </w:p>
    <w:p w14:paraId="6B15E3A8" w14:textId="00A5BC3A" w:rsidR="005B7F0D" w:rsidRPr="005B7F0D" w:rsidRDefault="005B7F0D" w:rsidP="00416315">
      <w:pPr>
        <w:pStyle w:val="ListBullet"/>
        <w:numPr>
          <w:ilvl w:val="0"/>
          <w:numId w:val="0"/>
        </w:numPr>
        <w:rPr>
          <w:lang w:val="fr-CH"/>
        </w:rPr>
      </w:pPr>
      <w:r w:rsidRPr="005B7F0D">
        <w:rPr>
          <w:lang w:val="fr-CH"/>
        </w:rPr>
        <w:lastRenderedPageBreak/>
        <w:t xml:space="preserve">Les Groupes de travail 4C et 5B ont réalisé des études </w:t>
      </w:r>
      <w:r w:rsidR="00654654">
        <w:rPr>
          <w:lang w:val="fr-CH"/>
        </w:rPr>
        <w:t xml:space="preserve">portant </w:t>
      </w:r>
      <w:r w:rsidRPr="005B7F0D">
        <w:rPr>
          <w:lang w:val="fr-CH"/>
        </w:rPr>
        <w:t>sur deux systèmes</w:t>
      </w:r>
      <w:r>
        <w:rPr>
          <w:lang w:val="fr-CH"/>
        </w:rPr>
        <w:t xml:space="preserve"> à satellites susceptibles de contribuer à la réalisation et au développement d</w:t>
      </w:r>
      <w:r w:rsidR="00416315">
        <w:rPr>
          <w:lang w:val="fr-CH"/>
        </w:rPr>
        <w:t>u</w:t>
      </w:r>
      <w:r>
        <w:rPr>
          <w:lang w:val="fr-CH"/>
        </w:rPr>
        <w:t xml:space="preserve"> système de </w:t>
      </w:r>
      <w:r w:rsidRPr="009B3441">
        <w:rPr>
          <w:rFonts w:hint="eastAsia"/>
          <w:lang w:val="fr-CH"/>
        </w:rPr>
        <w:t>suivi des vols à l'échelle mondiale</w:t>
      </w:r>
      <w:r>
        <w:rPr>
          <w:lang w:val="fr-CH"/>
        </w:rPr>
        <w:t xml:space="preserve"> pour l</w:t>
      </w:r>
      <w:r w:rsidR="00416315">
        <w:rPr>
          <w:lang w:val="fr-CH"/>
        </w:rPr>
        <w:t>'</w:t>
      </w:r>
      <w:r>
        <w:rPr>
          <w:lang w:val="fr-CH"/>
        </w:rPr>
        <w:t>aviation civile. Ces systèmes sont les suivants:</w:t>
      </w:r>
    </w:p>
    <w:p w14:paraId="7750D3C1" w14:textId="77777777" w:rsidR="001337A1" w:rsidRDefault="0014120B" w:rsidP="00416315">
      <w:pPr>
        <w:pStyle w:val="enumlev1"/>
        <w:rPr>
          <w:lang w:val="fr-CH"/>
        </w:rPr>
      </w:pPr>
      <w:r w:rsidRPr="00E54098">
        <w:t>•</w:t>
      </w:r>
      <w:r w:rsidRPr="00E54098">
        <w:tab/>
      </w:r>
      <w:r>
        <w:rPr>
          <w:lang w:val="fr-CH"/>
        </w:rPr>
        <w:t>S</w:t>
      </w:r>
      <w:r w:rsidR="001337A1" w:rsidRPr="00AD3895">
        <w:rPr>
          <w:lang w:val="fr-CH"/>
        </w:rPr>
        <w:t>urveillance dépendante automatique en mode contrat (ADS</w:t>
      </w:r>
      <w:r w:rsidR="001337A1" w:rsidRPr="00AD3895">
        <w:rPr>
          <w:lang w:val="fr-CH"/>
        </w:rPr>
        <w:noBreakHyphen/>
        <w:t>C)</w:t>
      </w:r>
    </w:p>
    <w:p w14:paraId="72D88201" w14:textId="77777777" w:rsidR="001337A1" w:rsidRDefault="0014120B" w:rsidP="00416315">
      <w:pPr>
        <w:pStyle w:val="enumlev1"/>
        <w:rPr>
          <w:lang w:val="fr-CH"/>
        </w:rPr>
      </w:pPr>
      <w:r w:rsidRPr="00E54098">
        <w:t>•</w:t>
      </w:r>
      <w:r w:rsidRPr="00E54098">
        <w:tab/>
      </w:r>
      <w:r>
        <w:rPr>
          <w:lang w:val="fr-CH"/>
        </w:rPr>
        <w:t xml:space="preserve">Surveillance automatique dépendante en mode diffusion </w:t>
      </w:r>
      <w:r w:rsidRPr="00AD3895">
        <w:rPr>
          <w:lang w:val="fr-CH"/>
        </w:rPr>
        <w:t>(ADS</w:t>
      </w:r>
      <w:r w:rsidRPr="00AD3895">
        <w:rPr>
          <w:lang w:val="fr-CH"/>
        </w:rPr>
        <w:noBreakHyphen/>
      </w:r>
      <w:r>
        <w:rPr>
          <w:lang w:val="fr-CH"/>
        </w:rPr>
        <w:t>B)</w:t>
      </w:r>
    </w:p>
    <w:p w14:paraId="57463B24" w14:textId="20AEAB6F" w:rsidR="00980016" w:rsidRPr="00980016" w:rsidRDefault="00980016" w:rsidP="00416315">
      <w:pPr>
        <w:rPr>
          <w:lang w:val="fr-CH"/>
        </w:rPr>
      </w:pPr>
      <w:r>
        <w:rPr>
          <w:lang w:val="fr-CH"/>
        </w:rPr>
        <w:t>Selon les résultats d</w:t>
      </w:r>
      <w:r w:rsidRPr="00980016">
        <w:rPr>
          <w:lang w:val="fr-CH"/>
        </w:rPr>
        <w:t>es étud</w:t>
      </w:r>
      <w:r>
        <w:rPr>
          <w:lang w:val="fr-CH"/>
        </w:rPr>
        <w:t>es portant sur le</w:t>
      </w:r>
      <w:r w:rsidR="00CA3D8F">
        <w:rPr>
          <w:lang w:val="fr-CH"/>
        </w:rPr>
        <w:t>s</w:t>
      </w:r>
      <w:r>
        <w:rPr>
          <w:lang w:val="fr-CH"/>
        </w:rPr>
        <w:t xml:space="preserve"> système</w:t>
      </w:r>
      <w:r w:rsidR="00CA3D8F">
        <w:rPr>
          <w:lang w:val="fr-CH"/>
        </w:rPr>
        <w:t>s</w:t>
      </w:r>
      <w:r>
        <w:rPr>
          <w:lang w:val="fr-CH"/>
        </w:rPr>
        <w:t xml:space="preserve"> ADS-C, l</w:t>
      </w:r>
      <w:r w:rsidR="00416315">
        <w:rPr>
          <w:lang w:val="fr-CH"/>
        </w:rPr>
        <w:t>'</w:t>
      </w:r>
      <w:r>
        <w:rPr>
          <w:lang w:val="fr-CH"/>
        </w:rPr>
        <w:t>adoption</w:t>
      </w:r>
      <w:r w:rsidR="00682B4F">
        <w:rPr>
          <w:lang w:val="fr-CH"/>
        </w:rPr>
        <w:t xml:space="preserve"> </w:t>
      </w:r>
      <w:r>
        <w:rPr>
          <w:lang w:val="fr-CH"/>
        </w:rPr>
        <w:t xml:space="preserve">de mesures réglementaires </w:t>
      </w:r>
      <w:r w:rsidR="00682B4F">
        <w:rPr>
          <w:lang w:val="fr-CH"/>
        </w:rPr>
        <w:t xml:space="preserve">par la CMR-15 </w:t>
      </w:r>
      <w:r>
        <w:rPr>
          <w:lang w:val="fr-CH"/>
        </w:rPr>
        <w:t>concernant ces systèmes n</w:t>
      </w:r>
      <w:r w:rsidR="00416315">
        <w:rPr>
          <w:lang w:val="fr-CH"/>
        </w:rPr>
        <w:t>'</w:t>
      </w:r>
      <w:r>
        <w:rPr>
          <w:lang w:val="fr-CH"/>
        </w:rPr>
        <w:t>est pas nécessaire.</w:t>
      </w:r>
    </w:p>
    <w:p w14:paraId="4373B590" w14:textId="0C392B79" w:rsidR="000D5BE9" w:rsidRPr="000D5BE9" w:rsidRDefault="000D5BE9" w:rsidP="00416315">
      <w:pPr>
        <w:rPr>
          <w:lang w:val="fr-CH"/>
        </w:rPr>
      </w:pPr>
      <w:r w:rsidRPr="000D5BE9">
        <w:rPr>
          <w:lang w:val="fr-CH"/>
        </w:rPr>
        <w:t>En ce qui concerne l</w:t>
      </w:r>
      <w:r w:rsidR="00654654">
        <w:rPr>
          <w:lang w:val="fr-CH"/>
        </w:rPr>
        <w:t>e</w:t>
      </w:r>
      <w:r w:rsidR="00CA3D8F">
        <w:rPr>
          <w:lang w:val="fr-CH"/>
        </w:rPr>
        <w:t>s</w:t>
      </w:r>
      <w:r w:rsidR="00654654">
        <w:rPr>
          <w:lang w:val="fr-CH"/>
        </w:rPr>
        <w:t xml:space="preserve"> système</w:t>
      </w:r>
      <w:r w:rsidR="00CA3D8F">
        <w:rPr>
          <w:lang w:val="fr-CH"/>
        </w:rPr>
        <w:t>s</w:t>
      </w:r>
      <w:r w:rsidR="00654654">
        <w:rPr>
          <w:lang w:val="fr-CH"/>
        </w:rPr>
        <w:t xml:space="preserve"> ADS-</w:t>
      </w:r>
      <w:r w:rsidR="00264861">
        <w:rPr>
          <w:lang w:val="fr-CH"/>
        </w:rPr>
        <w:t>B</w:t>
      </w:r>
      <w:r w:rsidRPr="000D5BE9">
        <w:rPr>
          <w:lang w:val="fr-CH"/>
        </w:rPr>
        <w:t xml:space="preserve">, </w:t>
      </w:r>
      <w:r>
        <w:rPr>
          <w:color w:val="000000"/>
        </w:rPr>
        <w:t>l</w:t>
      </w:r>
      <w:r w:rsidR="00416315">
        <w:rPr>
          <w:color w:val="000000"/>
        </w:rPr>
        <w:t>'</w:t>
      </w:r>
      <w:r>
        <w:rPr>
          <w:color w:val="000000"/>
        </w:rPr>
        <w:t>Organisation de l</w:t>
      </w:r>
      <w:r w:rsidR="00416315">
        <w:rPr>
          <w:color w:val="000000"/>
        </w:rPr>
        <w:t>'Aviation Civile I</w:t>
      </w:r>
      <w:r>
        <w:rPr>
          <w:color w:val="000000"/>
        </w:rPr>
        <w:t>nternationale (OACI) a indiqué qu</w:t>
      </w:r>
      <w:r w:rsidR="00416315">
        <w:rPr>
          <w:color w:val="000000"/>
        </w:rPr>
        <w:t>'</w:t>
      </w:r>
      <w:r w:rsidR="00AE147F">
        <w:rPr>
          <w:color w:val="000000"/>
        </w:rPr>
        <w:t>il était</w:t>
      </w:r>
      <w:r w:rsidR="00554D7A">
        <w:rPr>
          <w:color w:val="000000"/>
        </w:rPr>
        <w:t xml:space="preserve"> nécessaire d</w:t>
      </w:r>
      <w:r w:rsidR="00264861">
        <w:rPr>
          <w:color w:val="000000"/>
        </w:rPr>
        <w:t xml:space="preserve">e </w:t>
      </w:r>
      <w:r w:rsidR="00CA3D8F">
        <w:rPr>
          <w:color w:val="000000"/>
        </w:rPr>
        <w:t>leur</w:t>
      </w:r>
      <w:r w:rsidR="00264861">
        <w:rPr>
          <w:color w:val="000000"/>
        </w:rPr>
        <w:t xml:space="preserve"> </w:t>
      </w:r>
      <w:r w:rsidR="00554D7A">
        <w:rPr>
          <w:color w:val="000000"/>
        </w:rPr>
        <w:t xml:space="preserve">attribuer des fréquences </w:t>
      </w:r>
      <w:r w:rsidR="00682B4F">
        <w:rPr>
          <w:color w:val="000000"/>
        </w:rPr>
        <w:t>pour</w:t>
      </w:r>
      <w:r w:rsidR="00554D7A">
        <w:rPr>
          <w:color w:val="000000"/>
        </w:rPr>
        <w:t xml:space="preserve"> soutenir le développement </w:t>
      </w:r>
      <w:r w:rsidR="00264861">
        <w:rPr>
          <w:color w:val="000000"/>
        </w:rPr>
        <w:t xml:space="preserve">de </w:t>
      </w:r>
      <w:r w:rsidR="00CA3D8F">
        <w:rPr>
          <w:color w:val="000000"/>
        </w:rPr>
        <w:t>leur</w:t>
      </w:r>
      <w:r w:rsidR="00264861">
        <w:rPr>
          <w:color w:val="000000"/>
        </w:rPr>
        <w:t xml:space="preserve"> liaison de Terre</w:t>
      </w:r>
      <w:r w:rsidR="00554D7A">
        <w:rPr>
          <w:color w:val="000000"/>
        </w:rPr>
        <w:t xml:space="preserve"> afin d</w:t>
      </w:r>
      <w:r w:rsidR="00416315">
        <w:rPr>
          <w:color w:val="000000"/>
        </w:rPr>
        <w:t>'</w:t>
      </w:r>
      <w:r w:rsidR="00554D7A">
        <w:rPr>
          <w:color w:val="000000"/>
        </w:rPr>
        <w:t xml:space="preserve">intégrer le service </w:t>
      </w:r>
      <w:r w:rsidR="00682B4F">
        <w:rPr>
          <w:color w:val="000000"/>
        </w:rPr>
        <w:t>par satellite</w:t>
      </w:r>
      <w:r w:rsidR="002C1460">
        <w:rPr>
          <w:color w:val="000000"/>
        </w:rPr>
        <w:t>, c</w:t>
      </w:r>
      <w:r w:rsidR="000523A6">
        <w:rPr>
          <w:color w:val="000000"/>
        </w:rPr>
        <w:t xml:space="preserve">ompte tenu des améliorations de prestations </w:t>
      </w:r>
      <w:r w:rsidR="00416315">
        <w:rPr>
          <w:color w:val="000000"/>
        </w:rPr>
        <w:t xml:space="preserve">très </w:t>
      </w:r>
      <w:r w:rsidR="000523A6">
        <w:rPr>
          <w:color w:val="000000"/>
        </w:rPr>
        <w:t>importantes qui pourront être fournies dans</w:t>
      </w:r>
      <w:r w:rsidR="00682B4F">
        <w:rPr>
          <w:color w:val="000000"/>
        </w:rPr>
        <w:t xml:space="preserve"> </w:t>
      </w:r>
      <w:r w:rsidR="00CA3D8F">
        <w:rPr>
          <w:color w:val="000000"/>
        </w:rPr>
        <w:t xml:space="preserve">des </w:t>
      </w:r>
      <w:r w:rsidR="00682B4F">
        <w:rPr>
          <w:color w:val="000000"/>
        </w:rPr>
        <w:t xml:space="preserve">régions très isolées et reculées des océans, </w:t>
      </w:r>
      <w:r w:rsidR="000523A6">
        <w:rPr>
          <w:color w:val="000000"/>
        </w:rPr>
        <w:t>ainsi qu</w:t>
      </w:r>
      <w:r w:rsidR="00416315">
        <w:rPr>
          <w:color w:val="000000"/>
        </w:rPr>
        <w:t>'</w:t>
      </w:r>
      <w:r w:rsidR="000523A6">
        <w:rPr>
          <w:color w:val="000000"/>
        </w:rPr>
        <w:t>au</w:t>
      </w:r>
      <w:r w:rsidR="00682B4F">
        <w:rPr>
          <w:color w:val="000000"/>
        </w:rPr>
        <w:t xml:space="preserve"> pôle </w:t>
      </w:r>
      <w:r w:rsidR="00B46665">
        <w:rPr>
          <w:color w:val="000000"/>
        </w:rPr>
        <w:t>N</w:t>
      </w:r>
      <w:r w:rsidR="00682B4F">
        <w:rPr>
          <w:color w:val="000000"/>
        </w:rPr>
        <w:t xml:space="preserve">ord et </w:t>
      </w:r>
      <w:r w:rsidR="000523A6">
        <w:rPr>
          <w:color w:val="000000"/>
        </w:rPr>
        <w:t>au</w:t>
      </w:r>
      <w:r w:rsidR="00682B4F">
        <w:rPr>
          <w:color w:val="000000"/>
        </w:rPr>
        <w:t xml:space="preserve"> pôle </w:t>
      </w:r>
      <w:r w:rsidR="00B46665">
        <w:rPr>
          <w:color w:val="000000"/>
        </w:rPr>
        <w:t>S</w:t>
      </w:r>
      <w:r w:rsidR="00682B4F">
        <w:rPr>
          <w:color w:val="000000"/>
        </w:rPr>
        <w:t>ud</w:t>
      </w:r>
      <w:r w:rsidR="003C0B61">
        <w:rPr>
          <w:color w:val="000000"/>
        </w:rPr>
        <w:t>, et afin de permettre à l</w:t>
      </w:r>
      <w:r w:rsidR="00416315">
        <w:rPr>
          <w:color w:val="000000"/>
        </w:rPr>
        <w:t>'</w:t>
      </w:r>
      <w:r w:rsidR="00682B4F">
        <w:rPr>
          <w:color w:val="000000"/>
        </w:rPr>
        <w:t xml:space="preserve">OACI de formuler des </w:t>
      </w:r>
      <w:r w:rsidR="00A27A51">
        <w:rPr>
          <w:color w:val="000000"/>
        </w:rPr>
        <w:t xml:space="preserve">spécifications et des </w:t>
      </w:r>
      <w:r w:rsidR="00682B4F">
        <w:rPr>
          <w:color w:val="000000"/>
        </w:rPr>
        <w:t xml:space="preserve">normes </w:t>
      </w:r>
      <w:r w:rsidR="00416315">
        <w:rPr>
          <w:color w:val="000000"/>
        </w:rPr>
        <w:t>recommand</w:t>
      </w:r>
      <w:r w:rsidR="00A27A51">
        <w:rPr>
          <w:color w:val="000000"/>
        </w:rPr>
        <w:t xml:space="preserve">ées pour le fonctionnement futur de ce service. </w:t>
      </w:r>
      <w:r w:rsidR="00EA1494">
        <w:rPr>
          <w:color w:val="000000"/>
        </w:rPr>
        <w:t>L</w:t>
      </w:r>
      <w:r w:rsidR="00416315">
        <w:rPr>
          <w:color w:val="000000"/>
        </w:rPr>
        <w:t>'</w:t>
      </w:r>
      <w:r w:rsidR="00EA1494">
        <w:rPr>
          <w:color w:val="000000"/>
        </w:rPr>
        <w:t>OACI a présenté sa position officielle en juillet 2015, demandant l</w:t>
      </w:r>
      <w:r w:rsidR="00416315">
        <w:rPr>
          <w:color w:val="000000"/>
        </w:rPr>
        <w:t>'</w:t>
      </w:r>
      <w:r w:rsidR="00EA1494">
        <w:rPr>
          <w:color w:val="000000"/>
        </w:rPr>
        <w:t>attribution de la bande de fréquences 1 087,7-1 092,3 MHz au SMA(R)S.</w:t>
      </w:r>
    </w:p>
    <w:p w14:paraId="70A5DF70" w14:textId="0663F1D7" w:rsidR="00EA1494" w:rsidRPr="00626AE1" w:rsidRDefault="00EA1494" w:rsidP="00416315">
      <w:pPr>
        <w:rPr>
          <w:lang w:val="fr-CH"/>
        </w:rPr>
      </w:pPr>
      <w:r w:rsidRPr="00EA1494">
        <w:rPr>
          <w:lang w:val="fr-CH"/>
        </w:rPr>
        <w:t>Il est intéressant d</w:t>
      </w:r>
      <w:r w:rsidR="00416315">
        <w:rPr>
          <w:lang w:val="fr-CH"/>
        </w:rPr>
        <w:t>'</w:t>
      </w:r>
      <w:r w:rsidRPr="00EA1494">
        <w:rPr>
          <w:lang w:val="fr-CH"/>
        </w:rPr>
        <w:t>observer que le Groupe de travail 5B a conclu qu</w:t>
      </w:r>
      <w:r w:rsidR="00416315">
        <w:rPr>
          <w:lang w:val="fr-CH"/>
        </w:rPr>
        <w:t>'</w:t>
      </w:r>
      <w:r w:rsidRPr="00EA1494">
        <w:rPr>
          <w:lang w:val="fr-CH"/>
        </w:rPr>
        <w:t>il n</w:t>
      </w:r>
      <w:r w:rsidR="00416315">
        <w:rPr>
          <w:lang w:val="fr-CH"/>
        </w:rPr>
        <w:t>'</w:t>
      </w:r>
      <w:r w:rsidRPr="00EA1494">
        <w:rPr>
          <w:lang w:val="fr-CH"/>
        </w:rPr>
        <w:t xml:space="preserve">existait aucun </w:t>
      </w:r>
      <w:r>
        <w:rPr>
          <w:lang w:val="fr-CH"/>
        </w:rPr>
        <w:t>risque</w:t>
      </w:r>
      <w:r w:rsidRPr="00EA1494">
        <w:rPr>
          <w:lang w:val="fr-CH"/>
        </w:rPr>
        <w:t xml:space="preserve"> de </w:t>
      </w:r>
      <w:r>
        <w:rPr>
          <w:lang w:val="fr-CH"/>
        </w:rPr>
        <w:t xml:space="preserve">causer des </w:t>
      </w:r>
      <w:r w:rsidRPr="00EA1494">
        <w:rPr>
          <w:lang w:val="fr-CH"/>
        </w:rPr>
        <w:t>brouilla</w:t>
      </w:r>
      <w:r>
        <w:rPr>
          <w:lang w:val="fr-CH"/>
        </w:rPr>
        <w:t>g</w:t>
      </w:r>
      <w:r w:rsidRPr="00EA1494">
        <w:rPr>
          <w:lang w:val="fr-CH"/>
        </w:rPr>
        <w:t>e</w:t>
      </w:r>
      <w:r>
        <w:rPr>
          <w:lang w:val="fr-CH"/>
        </w:rPr>
        <w:t>s</w:t>
      </w:r>
      <w:r w:rsidRPr="00EA1494">
        <w:rPr>
          <w:lang w:val="fr-CH"/>
        </w:rPr>
        <w:t xml:space="preserve"> préjudiciable</w:t>
      </w:r>
      <w:r>
        <w:rPr>
          <w:lang w:val="fr-CH"/>
        </w:rPr>
        <w:t>s</w:t>
      </w:r>
      <w:r w:rsidRPr="00EA1494">
        <w:rPr>
          <w:lang w:val="fr-CH"/>
        </w:rPr>
        <w:t xml:space="preserve"> aux services actuels </w:t>
      </w:r>
      <w:r>
        <w:rPr>
          <w:lang w:val="fr-CH"/>
        </w:rPr>
        <w:t xml:space="preserve">fonctionnant dans les mêmes bandes </w:t>
      </w:r>
      <w:r w:rsidR="00264861">
        <w:rPr>
          <w:lang w:val="fr-CH"/>
        </w:rPr>
        <w:t>lors de la retransmission</w:t>
      </w:r>
      <w:r>
        <w:rPr>
          <w:lang w:val="fr-CH"/>
        </w:rPr>
        <w:t xml:space="preserve"> des signaux </w:t>
      </w:r>
      <w:r w:rsidR="00EE496B">
        <w:rPr>
          <w:lang w:val="fr-CH"/>
        </w:rPr>
        <w:t>provenant d</w:t>
      </w:r>
      <w:r w:rsidR="00416315">
        <w:rPr>
          <w:lang w:val="fr-CH"/>
        </w:rPr>
        <w:t>'</w:t>
      </w:r>
      <w:r w:rsidR="00EE496B">
        <w:rPr>
          <w:lang w:val="fr-CH"/>
        </w:rPr>
        <w:t xml:space="preserve">un aéronef </w:t>
      </w:r>
      <w:r w:rsidR="00264861">
        <w:rPr>
          <w:lang w:val="fr-CH"/>
        </w:rPr>
        <w:t>à</w:t>
      </w:r>
      <w:r w:rsidR="00EE496B">
        <w:rPr>
          <w:lang w:val="fr-CH"/>
        </w:rPr>
        <w:t xml:space="preserve"> une station spatiale</w:t>
      </w:r>
      <w:r w:rsidR="00264861">
        <w:rPr>
          <w:lang w:val="fr-CH"/>
        </w:rPr>
        <w:t xml:space="preserve"> par le nouveau </w:t>
      </w:r>
      <w:r w:rsidR="00CA3D8F">
        <w:rPr>
          <w:lang w:val="fr-CH"/>
        </w:rPr>
        <w:t>système</w:t>
      </w:r>
      <w:r w:rsidR="00EE496B">
        <w:rPr>
          <w:lang w:val="fr-CH"/>
        </w:rPr>
        <w:t>. Par ailleurs, les études techniques qui ont été réalisées montrent que l</w:t>
      </w:r>
      <w:r w:rsidR="00416315">
        <w:rPr>
          <w:lang w:val="fr-CH"/>
        </w:rPr>
        <w:t>'</w:t>
      </w:r>
      <w:r w:rsidR="00EE496B">
        <w:rPr>
          <w:lang w:val="fr-CH"/>
        </w:rPr>
        <w:t>intensité des brouillages susceptibles d</w:t>
      </w:r>
      <w:r w:rsidR="00416315">
        <w:rPr>
          <w:lang w:val="fr-CH"/>
        </w:rPr>
        <w:t>'</w:t>
      </w:r>
      <w:r w:rsidR="00EE496B">
        <w:rPr>
          <w:lang w:val="fr-CH"/>
        </w:rPr>
        <w:t xml:space="preserve">être causés se situe dans les limites inférieures et ne représentent </w:t>
      </w:r>
      <w:r w:rsidR="00856AE6">
        <w:rPr>
          <w:lang w:val="fr-CH"/>
        </w:rPr>
        <w:t>donc</w:t>
      </w:r>
      <w:r w:rsidR="00EE496B">
        <w:rPr>
          <w:lang w:val="fr-CH"/>
        </w:rPr>
        <w:t xml:space="preserve"> aucun danger.</w:t>
      </w:r>
    </w:p>
    <w:p w14:paraId="24311E5A" w14:textId="77777777" w:rsidR="0014120B" w:rsidRPr="00416315" w:rsidRDefault="0014120B" w:rsidP="00416315">
      <w:pPr>
        <w:pStyle w:val="Headingb"/>
        <w:rPr>
          <w:lang w:val="fr-CH"/>
        </w:rPr>
      </w:pPr>
      <w:r w:rsidRPr="00416315">
        <w:rPr>
          <w:lang w:val="fr-CH"/>
        </w:rPr>
        <w:t>Proposition</w:t>
      </w:r>
    </w:p>
    <w:p w14:paraId="0B662DB4" w14:textId="77777777" w:rsidR="0014120B" w:rsidRPr="00416315" w:rsidRDefault="0014120B" w:rsidP="00416315">
      <w:pPr>
        <w:pStyle w:val="Proposal"/>
        <w:rPr>
          <w:lang w:val="fr-CH"/>
        </w:rPr>
      </w:pPr>
      <w:r w:rsidRPr="00416315">
        <w:rPr>
          <w:lang w:val="fr-CH"/>
        </w:rPr>
        <w:tab/>
        <w:t>ARB/25A26/1</w:t>
      </w:r>
    </w:p>
    <w:p w14:paraId="23E2122F" w14:textId="674E36B1" w:rsidR="00EE496B" w:rsidRPr="00EE496B" w:rsidRDefault="00EE496B" w:rsidP="00416315">
      <w:pPr>
        <w:rPr>
          <w:lang w:val="fr-CH"/>
        </w:rPr>
      </w:pPr>
      <w:r w:rsidRPr="00EE496B">
        <w:rPr>
          <w:lang w:val="fr-CH"/>
        </w:rPr>
        <w:t xml:space="preserve">Les administrations des </w:t>
      </w:r>
      <w:proofErr w:type="spellStart"/>
      <w:r w:rsidRPr="00EE496B">
        <w:rPr>
          <w:lang w:val="fr-CH"/>
        </w:rPr>
        <w:t>Etats</w:t>
      </w:r>
      <w:proofErr w:type="spellEnd"/>
      <w:r w:rsidRPr="00EE496B">
        <w:rPr>
          <w:lang w:val="fr-CH"/>
        </w:rPr>
        <w:t xml:space="preserve"> arabes sont </w:t>
      </w:r>
      <w:r>
        <w:rPr>
          <w:lang w:val="fr-CH"/>
        </w:rPr>
        <w:t>favorables à l</w:t>
      </w:r>
      <w:r w:rsidR="00416315">
        <w:rPr>
          <w:lang w:val="fr-CH"/>
        </w:rPr>
        <w:t>'</w:t>
      </w:r>
      <w:r>
        <w:rPr>
          <w:lang w:val="fr-CH"/>
        </w:rPr>
        <w:t>examen des solutions envisageables pour répondre aux besoins des systèmes de suivi des vols à l</w:t>
      </w:r>
      <w:r w:rsidR="00416315">
        <w:rPr>
          <w:lang w:val="fr-CH"/>
        </w:rPr>
        <w:t>'</w:t>
      </w:r>
      <w:r w:rsidRPr="009B3441">
        <w:rPr>
          <w:rFonts w:hint="eastAsia"/>
          <w:lang w:val="fr-CH"/>
        </w:rPr>
        <w:t>échelle mondiale</w:t>
      </w:r>
      <w:r>
        <w:rPr>
          <w:lang w:val="fr-CH"/>
        </w:rPr>
        <w:t xml:space="preserve"> pour l</w:t>
      </w:r>
      <w:r w:rsidR="00416315">
        <w:rPr>
          <w:lang w:val="fr-CH"/>
        </w:rPr>
        <w:t>'</w:t>
      </w:r>
      <w:r>
        <w:rPr>
          <w:lang w:val="fr-CH"/>
        </w:rPr>
        <w:t xml:space="preserve">aviation civile au sein du </w:t>
      </w:r>
      <w:r>
        <w:rPr>
          <w:color w:val="000000"/>
        </w:rPr>
        <w:t>service mobile aéronautique par satellite</w:t>
      </w:r>
      <w:r w:rsidR="00A71752">
        <w:rPr>
          <w:color w:val="000000"/>
        </w:rPr>
        <w:t>, y compris de la possibilité d</w:t>
      </w:r>
      <w:r w:rsidR="00416315">
        <w:rPr>
          <w:color w:val="000000"/>
        </w:rPr>
        <w:t>'</w:t>
      </w:r>
      <w:r w:rsidR="00A71752">
        <w:rPr>
          <w:color w:val="000000"/>
        </w:rPr>
        <w:t>identifier une bande de fréquences appropriée pour ces systèmes.</w:t>
      </w:r>
    </w:p>
    <w:p w14:paraId="508C5317" w14:textId="77777777" w:rsidR="0014120B" w:rsidRPr="00416315" w:rsidRDefault="0014120B" w:rsidP="00416315">
      <w:pPr>
        <w:pStyle w:val="Reasons"/>
        <w:rPr>
          <w:lang w:val="fr-CH"/>
        </w:rPr>
      </w:pPr>
    </w:p>
    <w:p w14:paraId="325C6A21" w14:textId="77777777" w:rsidR="0014120B" w:rsidRDefault="0014120B" w:rsidP="00416315">
      <w:pPr>
        <w:jc w:val="center"/>
      </w:pPr>
      <w:r>
        <w:t>______________</w:t>
      </w:r>
    </w:p>
    <w:p w14:paraId="1E60467D" w14:textId="77777777" w:rsidR="00D52986" w:rsidRPr="0014120B" w:rsidRDefault="00D52986" w:rsidP="0041631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sectPr w:rsidR="00D52986" w:rsidRPr="0014120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03552" w14:textId="77777777" w:rsidR="001F17E8" w:rsidRDefault="001F17E8">
      <w:r>
        <w:separator/>
      </w:r>
    </w:p>
  </w:endnote>
  <w:endnote w:type="continuationSeparator" w:id="0">
    <w:p w14:paraId="746B01D1" w14:textId="77777777"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2BF05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26AE1">
      <w:rPr>
        <w:noProof/>
        <w:lang w:val="en-US"/>
      </w:rPr>
      <w:t>P:\FRA\ITU-R\CONF-R\CMR15\000\025ADD26F.docx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6AE1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6AE1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E8FD3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26AE1">
      <w:rPr>
        <w:lang w:val="en-US"/>
      </w:rPr>
      <w:t>P:\FRA\ITU-R\CONF-R\CMR15\000\025ADD26F.docx</w:t>
    </w:r>
    <w:r>
      <w:fldChar w:fldCharType="end"/>
    </w:r>
    <w:r w:rsidR="0014120B" w:rsidRPr="000523A6">
      <w:rPr>
        <w:lang w:val="en-US"/>
      </w:rPr>
      <w:t xml:space="preserve"> (386886)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6AE1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6AE1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D80B0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26AE1">
      <w:rPr>
        <w:lang w:val="en-US"/>
      </w:rPr>
      <w:t>P:\FRA\ITU-R\CONF-R\CMR15\000\025ADD26F.docx</w:t>
    </w:r>
    <w:r>
      <w:fldChar w:fldCharType="end"/>
    </w:r>
    <w:r w:rsidR="0014120B" w:rsidRPr="000523A6">
      <w:rPr>
        <w:lang w:val="en-US"/>
      </w:rPr>
      <w:t xml:space="preserve"> (386886)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6AE1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6AE1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87855" w14:textId="77777777" w:rsidR="001F17E8" w:rsidRDefault="001F17E8">
      <w:r>
        <w:rPr>
          <w:b/>
        </w:rPr>
        <w:t>_______________</w:t>
      </w:r>
    </w:p>
  </w:footnote>
  <w:footnote w:type="continuationSeparator" w:id="0">
    <w:p w14:paraId="198CA342" w14:textId="77777777"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8E3AB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26AE1">
      <w:rPr>
        <w:noProof/>
      </w:rPr>
      <w:t>2</w:t>
    </w:r>
    <w:r>
      <w:fldChar w:fldCharType="end"/>
    </w:r>
  </w:p>
  <w:p w14:paraId="6E42ED96" w14:textId="77777777"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25(Add.26)-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4DA08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523A6"/>
    <w:rsid w:val="00080E2C"/>
    <w:rsid w:val="000A4755"/>
    <w:rsid w:val="000B2B90"/>
    <w:rsid w:val="000B2E0C"/>
    <w:rsid w:val="000B3D0C"/>
    <w:rsid w:val="000D5BE9"/>
    <w:rsid w:val="0010004C"/>
    <w:rsid w:val="001167B9"/>
    <w:rsid w:val="001267A0"/>
    <w:rsid w:val="001337A1"/>
    <w:rsid w:val="0014120B"/>
    <w:rsid w:val="0015203F"/>
    <w:rsid w:val="00160C64"/>
    <w:rsid w:val="0018169B"/>
    <w:rsid w:val="0019352B"/>
    <w:rsid w:val="001960D0"/>
    <w:rsid w:val="001F17E8"/>
    <w:rsid w:val="00204306"/>
    <w:rsid w:val="00232FD2"/>
    <w:rsid w:val="00264861"/>
    <w:rsid w:val="0026554E"/>
    <w:rsid w:val="002A4622"/>
    <w:rsid w:val="002A6F8F"/>
    <w:rsid w:val="002B17E5"/>
    <w:rsid w:val="002C0EBF"/>
    <w:rsid w:val="002C1460"/>
    <w:rsid w:val="002C28A4"/>
    <w:rsid w:val="00315AFE"/>
    <w:rsid w:val="003606A6"/>
    <w:rsid w:val="0036650C"/>
    <w:rsid w:val="00393ACD"/>
    <w:rsid w:val="003A583E"/>
    <w:rsid w:val="003C0B61"/>
    <w:rsid w:val="003D68E6"/>
    <w:rsid w:val="003E112B"/>
    <w:rsid w:val="003E1D1C"/>
    <w:rsid w:val="003E7B05"/>
    <w:rsid w:val="00416315"/>
    <w:rsid w:val="00463938"/>
    <w:rsid w:val="00466211"/>
    <w:rsid w:val="004834A9"/>
    <w:rsid w:val="004D01FC"/>
    <w:rsid w:val="004E28C3"/>
    <w:rsid w:val="004F1F8E"/>
    <w:rsid w:val="00512A32"/>
    <w:rsid w:val="00554D7A"/>
    <w:rsid w:val="00586CF2"/>
    <w:rsid w:val="005B7F0D"/>
    <w:rsid w:val="005C3768"/>
    <w:rsid w:val="005C6C3F"/>
    <w:rsid w:val="005F2E7D"/>
    <w:rsid w:val="00613635"/>
    <w:rsid w:val="0062093D"/>
    <w:rsid w:val="00626AE1"/>
    <w:rsid w:val="00637ECF"/>
    <w:rsid w:val="00647B59"/>
    <w:rsid w:val="00654654"/>
    <w:rsid w:val="00682B4F"/>
    <w:rsid w:val="00690C7B"/>
    <w:rsid w:val="00695D5B"/>
    <w:rsid w:val="006A20E1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56AE6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0016"/>
    <w:rsid w:val="0098732F"/>
    <w:rsid w:val="009A045F"/>
    <w:rsid w:val="009C7E7C"/>
    <w:rsid w:val="00A00473"/>
    <w:rsid w:val="00A03C9B"/>
    <w:rsid w:val="00A27A51"/>
    <w:rsid w:val="00A37105"/>
    <w:rsid w:val="00A606C3"/>
    <w:rsid w:val="00A71752"/>
    <w:rsid w:val="00A83B09"/>
    <w:rsid w:val="00A84541"/>
    <w:rsid w:val="00AE147F"/>
    <w:rsid w:val="00AE36A0"/>
    <w:rsid w:val="00B00294"/>
    <w:rsid w:val="00B46665"/>
    <w:rsid w:val="00B64FD0"/>
    <w:rsid w:val="00BA5BD0"/>
    <w:rsid w:val="00BB1D82"/>
    <w:rsid w:val="00BF26E7"/>
    <w:rsid w:val="00C53FCA"/>
    <w:rsid w:val="00C60C28"/>
    <w:rsid w:val="00C76BAF"/>
    <w:rsid w:val="00C814B9"/>
    <w:rsid w:val="00CA3D8F"/>
    <w:rsid w:val="00CD516F"/>
    <w:rsid w:val="00D119A7"/>
    <w:rsid w:val="00D25FBA"/>
    <w:rsid w:val="00D303F4"/>
    <w:rsid w:val="00D32B28"/>
    <w:rsid w:val="00D42954"/>
    <w:rsid w:val="00D52986"/>
    <w:rsid w:val="00D65D65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1494"/>
    <w:rsid w:val="00EA3F38"/>
    <w:rsid w:val="00EA5AB6"/>
    <w:rsid w:val="00EC7615"/>
    <w:rsid w:val="00ED16AA"/>
    <w:rsid w:val="00EE496B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4027A66"/>
  <w15:docId w15:val="{B01710B1-1EEB-456C-906E-5C2C50CB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1000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004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004C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04C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10004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004C"/>
    <w:rPr>
      <w:rFonts w:ascii="Segoe UI" w:hAnsi="Segoe UI" w:cs="Segoe UI"/>
      <w:sz w:val="18"/>
      <w:szCs w:val="18"/>
      <w:lang w:val="fr-FR" w:eastAsia="en-US"/>
    </w:rPr>
  </w:style>
  <w:style w:type="paragraph" w:styleId="ListBullet">
    <w:name w:val="List Bullet"/>
    <w:basedOn w:val="Normal"/>
    <w:unhideWhenUsed/>
    <w:rsid w:val="005B7F0D"/>
    <w:pPr>
      <w:numPr>
        <w:numId w:val="3"/>
      </w:numPr>
      <w:contextualSpacing/>
    </w:pPr>
  </w:style>
  <w:style w:type="paragraph" w:styleId="Revision">
    <w:name w:val="Revision"/>
    <w:hidden/>
    <w:uiPriority w:val="99"/>
    <w:semiHidden/>
    <w:rsid w:val="00416315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R15-WRC15-C-0025!A26!MSW-F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A61939-F196-49C8-8A9D-2CC83E3DB49C}">
  <ds:schemaRefs>
    <ds:schemaRef ds:uri="996b2e75-67fd-4955-a3b0-5ab9934cb50b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636</Words>
  <Characters>3615</Characters>
  <Application>Microsoft Office Word</Application>
  <DocSecurity>0</DocSecurity>
  <Lines>72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R15-WRC15-C-0025!A26!MSW-F</vt:lpstr>
    </vt:vector>
  </TitlesOfParts>
  <Manager>Secrétariat général - Pool</Manager>
  <Company>Union internationale des télécommunications (UIT)</Company>
  <LinksUpToDate>false</LinksUpToDate>
  <CharactersWithSpaces>4233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R15-WRC15-C-0025!A26!MSW-F</dc:title>
  <dc:subject>Conférence mondiale des radiocommunications - 2015</dc:subject>
  <dc:creator>Documents Proposals Manager (DPM)</dc:creator>
  <cp:keywords>DPM_v5.2015.10.8_prod</cp:keywords>
  <dc:description/>
  <cp:lastModifiedBy>Royer, Veronique</cp:lastModifiedBy>
  <cp:revision>5</cp:revision>
  <cp:lastPrinted>2015-10-25T14:27:00Z</cp:lastPrinted>
  <dcterms:created xsi:type="dcterms:W3CDTF">2015-10-21T21:11:00Z</dcterms:created>
  <dcterms:modified xsi:type="dcterms:W3CDTF">2015-10-25T14:29:00Z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