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5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10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arabe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F1EEA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F1EEA">
              <w:rPr>
                <w:lang w:val="fr-CH"/>
              </w:rPr>
              <w:t>Propositions communes des Etats arabes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F1EEA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F1EEA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F1EEA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1.5 de l'ordre du jour</w:t>
            </w:r>
          </w:p>
        </w:tc>
      </w:tr>
    </w:tbl>
    <w:bookmarkEnd w:id="5"/>
    <w:p w:rsidR="001C0E40" w:rsidRPr="004510CB" w:rsidRDefault="00E31C8D" w:rsidP="0015307E">
      <w:pPr>
        <w:pStyle w:val="Normalaftertitle"/>
        <w:rPr>
          <w:lang w:val="fr-CA"/>
        </w:rPr>
      </w:pPr>
      <w:r w:rsidRPr="004510CB">
        <w:rPr>
          <w:lang w:val="fr-CA"/>
        </w:rPr>
        <w:t>1.5</w:t>
      </w:r>
      <w:r w:rsidRPr="004510CB">
        <w:rPr>
          <w:lang w:val="fr-CA"/>
        </w:rPr>
        <w:tab/>
        <w:t xml:space="preserve">examiner l'utilisation des bandes de fréquences attribuées au service fixe par satellite qui ne relèvent pas des Appendices </w:t>
      </w:r>
      <w:r w:rsidRPr="00B2618F">
        <w:rPr>
          <w:b/>
          <w:bCs/>
          <w:lang w:val="fr-CA"/>
        </w:rPr>
        <w:t>30</w:t>
      </w:r>
      <w:r w:rsidRPr="004510CB">
        <w:rPr>
          <w:lang w:val="fr-CA"/>
        </w:rPr>
        <w:t xml:space="preserve">, </w:t>
      </w:r>
      <w:r w:rsidRPr="00B2618F">
        <w:rPr>
          <w:b/>
          <w:bCs/>
          <w:lang w:val="fr-CA"/>
        </w:rPr>
        <w:t>30A</w:t>
      </w:r>
      <w:r w:rsidRPr="004510CB">
        <w:rPr>
          <w:lang w:val="fr-CA"/>
        </w:rPr>
        <w:t xml:space="preserve"> et </w:t>
      </w:r>
      <w:r w:rsidRPr="00B2618F">
        <w:rPr>
          <w:b/>
          <w:bCs/>
          <w:lang w:val="fr-CA"/>
        </w:rPr>
        <w:t>30B</w:t>
      </w:r>
      <w:r w:rsidRPr="004510CB">
        <w:rPr>
          <w:lang w:val="fr-CA"/>
        </w:rPr>
        <w:t xml:space="preserve"> pour les communications de contrôle et non associées à la charge utile des systèmes d'aéronef sans pilote (UAS) dans les espaces aériens non réservés, conformément à la Résolution </w:t>
      </w:r>
      <w:r w:rsidRPr="00B2618F">
        <w:rPr>
          <w:b/>
          <w:bCs/>
          <w:lang w:val="fr-CA"/>
        </w:rPr>
        <w:t>153 (CMR-12)</w:t>
      </w:r>
      <w:r w:rsidRPr="004510CB">
        <w:rPr>
          <w:lang w:val="fr-CA"/>
        </w:rPr>
        <w:t>;</w:t>
      </w:r>
    </w:p>
    <w:p w:rsidR="00462A20" w:rsidRPr="00FE7B7F" w:rsidRDefault="00462A20" w:rsidP="00462A20">
      <w:pPr>
        <w:pStyle w:val="Headingb"/>
        <w:rPr>
          <w:lang w:val="fr-CH"/>
        </w:rPr>
      </w:pPr>
      <w:r w:rsidRPr="00FE7B7F">
        <w:rPr>
          <w:lang w:val="fr-CH"/>
        </w:rPr>
        <w:t>Introduction</w:t>
      </w:r>
    </w:p>
    <w:p w:rsidR="00462A20" w:rsidRPr="00462A20" w:rsidRDefault="00EB6E30" w:rsidP="00B230CD">
      <w:pPr>
        <w:rPr>
          <w:lang w:val="fr-CH"/>
        </w:rPr>
      </w:pPr>
      <w:r>
        <w:rPr>
          <w:lang w:val="fr-CH"/>
        </w:rPr>
        <w:t>Par s</w:t>
      </w:r>
      <w:r w:rsidR="00462A20" w:rsidRPr="00462A20">
        <w:rPr>
          <w:lang w:val="fr-CH"/>
        </w:rPr>
        <w:t>a Résolution 153</w:t>
      </w:r>
      <w:r>
        <w:rPr>
          <w:lang w:val="fr-CH"/>
        </w:rPr>
        <w:t xml:space="preserve">, la </w:t>
      </w:r>
      <w:r w:rsidR="00462A20" w:rsidRPr="00462A20">
        <w:rPr>
          <w:lang w:val="fr-CH"/>
        </w:rPr>
        <w:t>CMR-12 a invité l</w:t>
      </w:r>
      <w:r w:rsidR="00B230CD">
        <w:rPr>
          <w:lang w:val="fr-CH"/>
        </w:rPr>
        <w:t>'</w:t>
      </w:r>
      <w:r w:rsidR="00462A20" w:rsidRPr="00462A20">
        <w:rPr>
          <w:lang w:val="fr-CH"/>
        </w:rPr>
        <w:t>UIT-R à effectuer</w:t>
      </w:r>
      <w:r w:rsidR="00FD682A">
        <w:rPr>
          <w:lang w:val="fr-CH"/>
        </w:rPr>
        <w:t>,</w:t>
      </w:r>
      <w:r w:rsidR="00FD682A" w:rsidRPr="00FD682A">
        <w:t xml:space="preserve"> </w:t>
      </w:r>
      <w:r w:rsidR="00FD682A" w:rsidRPr="00FD682A">
        <w:rPr>
          <w:lang w:val="fr-CH"/>
        </w:rPr>
        <w:t>à temps pour la CMR-15</w:t>
      </w:r>
      <w:r w:rsidR="00FD682A">
        <w:rPr>
          <w:lang w:val="fr-CH"/>
        </w:rPr>
        <w:t>,</w:t>
      </w:r>
      <w:r w:rsidR="00462A20" w:rsidRPr="00462A20">
        <w:rPr>
          <w:lang w:val="fr-CH"/>
        </w:rPr>
        <w:t xml:space="preserve"> les études nécessaires </w:t>
      </w:r>
      <w:r w:rsidR="00FD682A">
        <w:rPr>
          <w:lang w:val="fr-CH"/>
        </w:rPr>
        <w:t>pour</w:t>
      </w:r>
      <w:r w:rsidR="00462A20" w:rsidRPr="00462A20">
        <w:rPr>
          <w:lang w:val="fr-CH"/>
        </w:rPr>
        <w:t xml:space="preserve"> soumettre </w:t>
      </w:r>
      <w:r w:rsidR="00FD682A">
        <w:rPr>
          <w:lang w:val="fr-CH"/>
        </w:rPr>
        <w:t xml:space="preserve">à </w:t>
      </w:r>
      <w:r w:rsidR="00FD682A" w:rsidRPr="00FD682A">
        <w:rPr>
          <w:lang w:val="fr-CH"/>
        </w:rPr>
        <w:t xml:space="preserve">cette Conférence </w:t>
      </w:r>
      <w:r w:rsidR="00462A20" w:rsidRPr="00462A20">
        <w:rPr>
          <w:lang w:val="fr-CH"/>
        </w:rPr>
        <w:t>des recommandations techniques, réglementaires</w:t>
      </w:r>
      <w:r w:rsidR="00462A20">
        <w:rPr>
          <w:lang w:val="fr-CH"/>
        </w:rPr>
        <w:t xml:space="preserve"> et opérationnelles, afin qu</w:t>
      </w:r>
      <w:r>
        <w:rPr>
          <w:lang w:val="fr-CH"/>
        </w:rPr>
        <w:t>'</w:t>
      </w:r>
      <w:r w:rsidR="00462A20">
        <w:rPr>
          <w:lang w:val="fr-CH"/>
        </w:rPr>
        <w:t>elle puisse prendre une décision sur l</w:t>
      </w:r>
      <w:r>
        <w:rPr>
          <w:lang w:val="fr-CH"/>
        </w:rPr>
        <w:t>'</w:t>
      </w:r>
      <w:r w:rsidR="00462A20">
        <w:rPr>
          <w:lang w:val="fr-CH"/>
        </w:rPr>
        <w:t>utilisation du SFS pour les liaisons CNPC destinées à l</w:t>
      </w:r>
      <w:r>
        <w:rPr>
          <w:lang w:val="fr-CH"/>
        </w:rPr>
        <w:t>'</w:t>
      </w:r>
      <w:r w:rsidR="00A62D4B">
        <w:rPr>
          <w:lang w:val="fr-CH"/>
        </w:rPr>
        <w:t>exploitation des systèmes UAS.</w:t>
      </w:r>
      <w:bookmarkStart w:id="6" w:name="_GoBack"/>
      <w:bookmarkEnd w:id="6"/>
    </w:p>
    <w:p w:rsidR="00AB2A25" w:rsidRPr="00AB2A25" w:rsidRDefault="00AB2A25" w:rsidP="00EB6E30">
      <w:pPr>
        <w:rPr>
          <w:lang w:val="fr-CH"/>
        </w:rPr>
      </w:pPr>
      <w:r w:rsidRPr="00AB2A25">
        <w:rPr>
          <w:lang w:val="fr-CH"/>
        </w:rPr>
        <w:t xml:space="preserve">Les études </w:t>
      </w:r>
      <w:r w:rsidR="00FD682A">
        <w:rPr>
          <w:lang w:val="fr-CH"/>
        </w:rPr>
        <w:t>menées par</w:t>
      </w:r>
      <w:r w:rsidRPr="00AB2A25">
        <w:rPr>
          <w:lang w:val="fr-CH"/>
        </w:rPr>
        <w:t xml:space="preserve"> l</w:t>
      </w:r>
      <w:r w:rsidR="00EB6E30">
        <w:rPr>
          <w:lang w:val="fr-CH"/>
        </w:rPr>
        <w:t>'</w:t>
      </w:r>
      <w:r w:rsidRPr="00AB2A25">
        <w:rPr>
          <w:lang w:val="fr-CH"/>
        </w:rPr>
        <w:t xml:space="preserve">UIT-R dans le cadre de la résolution </w:t>
      </w:r>
      <w:r>
        <w:rPr>
          <w:lang w:val="fr-CH"/>
        </w:rPr>
        <w:t xml:space="preserve">ci-dessus </w:t>
      </w:r>
      <w:r w:rsidR="00FE7B7F">
        <w:rPr>
          <w:lang w:val="fr-CH"/>
        </w:rPr>
        <w:t>n</w:t>
      </w:r>
      <w:r w:rsidR="00EB6E30">
        <w:rPr>
          <w:lang w:val="fr-CH"/>
        </w:rPr>
        <w:t>'</w:t>
      </w:r>
      <w:r w:rsidR="00FE7B7F">
        <w:rPr>
          <w:lang w:val="fr-CH"/>
        </w:rPr>
        <w:t xml:space="preserve">ont pas </w:t>
      </w:r>
      <w:r w:rsidR="00EB6E30">
        <w:rPr>
          <w:lang w:val="fr-CH"/>
        </w:rPr>
        <w:t>permis de trouver</w:t>
      </w:r>
      <w:r w:rsidRPr="00AB2A25">
        <w:rPr>
          <w:lang w:val="fr-CH"/>
        </w:rPr>
        <w:t xml:space="preserve"> un accord en ce qui concerne </w:t>
      </w:r>
      <w:r w:rsidR="00FD682A">
        <w:rPr>
          <w:lang w:val="fr-CH"/>
        </w:rPr>
        <w:t>les études fournies qui indiqu</w:t>
      </w:r>
      <w:r w:rsidRPr="00AB2A25">
        <w:rPr>
          <w:lang w:val="fr-CH"/>
        </w:rPr>
        <w:t>ent que l'environnement de brouillage vis-à-vis des services existants permet aux administrations de déterminer si les bandes de fréquences attribuées au SFS peuvent être utilisées pour assurer les liaisons CNPC des systèmes d'aéronef sans pilote.</w:t>
      </w:r>
    </w:p>
    <w:p w:rsidR="00621A9E" w:rsidRPr="00621A9E" w:rsidRDefault="00621A9E" w:rsidP="00EB6E30">
      <w:pPr>
        <w:rPr>
          <w:lang w:val="fr-CH"/>
        </w:rPr>
      </w:pPr>
      <w:r w:rsidRPr="00621A9E">
        <w:rPr>
          <w:lang w:val="fr-CH"/>
        </w:rPr>
        <w:t>En outre, l</w:t>
      </w:r>
      <w:r w:rsidR="00EB6E30">
        <w:rPr>
          <w:lang w:val="fr-CH"/>
        </w:rPr>
        <w:t>'</w:t>
      </w:r>
      <w:r w:rsidRPr="00621A9E">
        <w:rPr>
          <w:lang w:val="fr-CH"/>
        </w:rPr>
        <w:t>utilisation de stations terriennes du SFS à bord d</w:t>
      </w:r>
      <w:r w:rsidR="00EB6E30">
        <w:rPr>
          <w:lang w:val="fr-CH"/>
        </w:rPr>
        <w:t>'</w:t>
      </w:r>
      <w:r w:rsidRPr="00621A9E">
        <w:rPr>
          <w:lang w:val="fr-CH"/>
        </w:rPr>
        <w:t>aéronef</w:t>
      </w:r>
      <w:r w:rsidR="00EB6E30">
        <w:rPr>
          <w:lang w:val="fr-CH"/>
        </w:rPr>
        <w:t>s</w:t>
      </w:r>
      <w:r w:rsidRPr="00621A9E">
        <w:rPr>
          <w:lang w:val="fr-CH"/>
        </w:rPr>
        <w:t xml:space="preserve"> pour assurer les liaisons CNPC des systèmes </w:t>
      </w:r>
      <w:r>
        <w:rPr>
          <w:lang w:val="fr-CH"/>
        </w:rPr>
        <w:t>UAS</w:t>
      </w:r>
      <w:r w:rsidRPr="00621A9E">
        <w:t xml:space="preserve"> </w:t>
      </w:r>
      <w:r>
        <w:rPr>
          <w:lang w:val="fr-CH"/>
        </w:rPr>
        <w:t xml:space="preserve">modifierait </w:t>
      </w:r>
      <w:r w:rsidR="00FC761B" w:rsidRPr="00FC761B">
        <w:rPr>
          <w:lang w:val="fr-CH"/>
        </w:rPr>
        <w:t>considérablement les conditions de compatibilité avec les services existants par comparaison avec l'utilisation actuelle des stations terriennes spéciales et types du SFS à la surface de la Terre</w:t>
      </w:r>
      <w:r w:rsidR="00FC761B">
        <w:rPr>
          <w:lang w:val="fr-CH"/>
        </w:rPr>
        <w:t>.</w:t>
      </w:r>
      <w:r w:rsidRPr="00621A9E">
        <w:rPr>
          <w:lang w:val="fr-CH"/>
        </w:rPr>
        <w:t xml:space="preserve"> </w:t>
      </w:r>
      <w:r w:rsidR="00FC761B">
        <w:rPr>
          <w:lang w:val="fr-CH"/>
        </w:rPr>
        <w:t xml:space="preserve">Cela </w:t>
      </w:r>
      <w:r w:rsidR="00FC761B" w:rsidRPr="00FC761B">
        <w:rPr>
          <w:lang w:val="fr-CH"/>
        </w:rPr>
        <w:t xml:space="preserve">conduit au fait que les distances </w:t>
      </w:r>
      <w:r w:rsidR="00EB6E30">
        <w:rPr>
          <w:lang w:val="fr-CH"/>
        </w:rPr>
        <w:t xml:space="preserve">de protection et </w:t>
      </w:r>
      <w:r w:rsidR="00FC761B" w:rsidRPr="00FC761B">
        <w:rPr>
          <w:lang w:val="fr-CH"/>
        </w:rPr>
        <w:t>de coordination entre ces stations et l</w:t>
      </w:r>
      <w:r w:rsidR="004865B1">
        <w:rPr>
          <w:lang w:val="fr-CH"/>
        </w:rPr>
        <w:t>es stations d</w:t>
      </w:r>
      <w:r w:rsidR="00EB6E30">
        <w:rPr>
          <w:lang w:val="fr-CH"/>
        </w:rPr>
        <w:t>es</w:t>
      </w:r>
      <w:r w:rsidR="004865B1">
        <w:rPr>
          <w:lang w:val="fr-CH"/>
        </w:rPr>
        <w:t xml:space="preserve"> service</w:t>
      </w:r>
      <w:r w:rsidR="00EB6E30">
        <w:rPr>
          <w:lang w:val="fr-CH"/>
        </w:rPr>
        <w:t>s</w:t>
      </w:r>
      <w:r w:rsidR="004865B1">
        <w:rPr>
          <w:lang w:val="fr-CH"/>
        </w:rPr>
        <w:t xml:space="preserve"> de Terre, par exemple, </w:t>
      </w:r>
      <w:r w:rsidR="00FC761B" w:rsidRPr="00FC761B">
        <w:rPr>
          <w:lang w:val="fr-CH"/>
        </w:rPr>
        <w:t>peuvent être multipliées plusieurs fois par</w:t>
      </w:r>
      <w:r w:rsidR="00FC761B">
        <w:rPr>
          <w:lang w:val="fr-CH"/>
        </w:rPr>
        <w:t xml:space="preserve"> rapport aux valeurs actuelles, en fonction </w:t>
      </w:r>
      <w:r w:rsidR="00FC761B" w:rsidRPr="00FC761B">
        <w:rPr>
          <w:lang w:val="fr-CH"/>
        </w:rPr>
        <w:t xml:space="preserve">de l'altitude </w:t>
      </w:r>
      <w:r w:rsidR="00FC761B">
        <w:rPr>
          <w:lang w:val="fr-CH"/>
        </w:rPr>
        <w:t>de l'aéronef sans pilote. L</w:t>
      </w:r>
      <w:r w:rsidR="00EB6E30">
        <w:rPr>
          <w:lang w:val="fr-CH"/>
        </w:rPr>
        <w:t>a protection</w:t>
      </w:r>
      <w:r w:rsidR="00FC761B">
        <w:rPr>
          <w:lang w:val="fr-CH"/>
        </w:rPr>
        <w:t xml:space="preserve"> à </w:t>
      </w:r>
      <w:r w:rsidR="00840C65">
        <w:rPr>
          <w:lang w:val="fr-CH"/>
        </w:rPr>
        <w:t>prendre</w:t>
      </w:r>
      <w:r w:rsidR="00FC761B">
        <w:rPr>
          <w:lang w:val="fr-CH"/>
        </w:rPr>
        <w:t xml:space="preserve"> pour les services </w:t>
      </w:r>
      <w:r w:rsidR="00EB6E30">
        <w:rPr>
          <w:lang w:val="fr-CH"/>
        </w:rPr>
        <w:t xml:space="preserve">disposant actuellement d'attributions </w:t>
      </w:r>
      <w:r w:rsidR="00FC761B">
        <w:rPr>
          <w:lang w:val="fr-CH"/>
        </w:rPr>
        <w:t xml:space="preserve">et </w:t>
      </w:r>
      <w:r w:rsidR="00EB6E30">
        <w:rPr>
          <w:lang w:val="fr-CH"/>
        </w:rPr>
        <w:t>ceux qui bénéficieront d'attributions à l'avenir</w:t>
      </w:r>
      <w:r w:rsidR="00FC761B">
        <w:rPr>
          <w:lang w:val="fr-CH"/>
        </w:rPr>
        <w:t xml:space="preserve"> n</w:t>
      </w:r>
      <w:r w:rsidR="00840C65">
        <w:rPr>
          <w:lang w:val="fr-CH"/>
        </w:rPr>
        <w:t>e sont pas encore</w:t>
      </w:r>
      <w:r w:rsidR="004865B1">
        <w:rPr>
          <w:lang w:val="fr-CH"/>
        </w:rPr>
        <w:t xml:space="preserve"> définies avec certitude</w:t>
      </w:r>
      <w:r w:rsidR="00FC761B">
        <w:rPr>
          <w:lang w:val="fr-CH"/>
        </w:rPr>
        <w:t>, et les études de l</w:t>
      </w:r>
      <w:r w:rsidR="00EB6E30">
        <w:rPr>
          <w:lang w:val="fr-CH"/>
        </w:rPr>
        <w:t>'</w:t>
      </w:r>
      <w:r w:rsidR="00FC761B">
        <w:rPr>
          <w:lang w:val="fr-CH"/>
        </w:rPr>
        <w:t>UIT-R n</w:t>
      </w:r>
      <w:r w:rsidR="00EB6E30">
        <w:rPr>
          <w:lang w:val="fr-CH"/>
        </w:rPr>
        <w:t>'</w:t>
      </w:r>
      <w:r w:rsidR="00FC761B">
        <w:rPr>
          <w:lang w:val="fr-CH"/>
        </w:rPr>
        <w:t xml:space="preserve">ont pas </w:t>
      </w:r>
      <w:r w:rsidR="0007037C">
        <w:rPr>
          <w:lang w:val="fr-CH"/>
        </w:rPr>
        <w:t>permis de trouver</w:t>
      </w:r>
      <w:r w:rsidR="004865B1">
        <w:rPr>
          <w:lang w:val="fr-CH"/>
        </w:rPr>
        <w:t xml:space="preserve"> un </w:t>
      </w:r>
      <w:r w:rsidR="00FC761B">
        <w:rPr>
          <w:lang w:val="fr-CH"/>
        </w:rPr>
        <w:t>accord à ce sujet.</w:t>
      </w:r>
    </w:p>
    <w:p w:rsidR="00FC761B" w:rsidRPr="00840C65" w:rsidRDefault="00840C65" w:rsidP="00B230CD">
      <w:pPr>
        <w:rPr>
          <w:lang w:val="fr-CH"/>
        </w:rPr>
      </w:pPr>
      <w:r w:rsidRPr="00840C65">
        <w:rPr>
          <w:lang w:val="fr-CH"/>
        </w:rPr>
        <w:t xml:space="preserve">Il est intéressant de noter que </w:t>
      </w:r>
      <w:r>
        <w:rPr>
          <w:lang w:val="fr-CH"/>
        </w:rPr>
        <w:t>l</w:t>
      </w:r>
      <w:r w:rsidR="00EB6E30">
        <w:rPr>
          <w:lang w:val="fr-CH"/>
        </w:rPr>
        <w:t>'</w:t>
      </w:r>
      <w:r w:rsidRPr="00840C65">
        <w:rPr>
          <w:lang w:val="fr-CH"/>
        </w:rPr>
        <w:t>Organisation de l'aviation civile internationale</w:t>
      </w:r>
      <w:r>
        <w:rPr>
          <w:lang w:val="fr-CH"/>
        </w:rPr>
        <w:t xml:space="preserve"> (OACI) n</w:t>
      </w:r>
      <w:r w:rsidR="00EB6E30">
        <w:rPr>
          <w:lang w:val="fr-CH"/>
        </w:rPr>
        <w:t>'</w:t>
      </w:r>
      <w:r>
        <w:rPr>
          <w:lang w:val="fr-CH"/>
        </w:rPr>
        <w:t xml:space="preserve">a pas été en mesure de </w:t>
      </w:r>
      <w:r w:rsidR="006E37E1" w:rsidRPr="006E37E1">
        <w:rPr>
          <w:lang w:val="fr-CH"/>
        </w:rPr>
        <w:t xml:space="preserve">fournir les caractéristiques de </w:t>
      </w:r>
      <w:r w:rsidR="00EB6E30">
        <w:rPr>
          <w:lang w:val="fr-CH"/>
        </w:rPr>
        <w:t xml:space="preserve">fonctionnement </w:t>
      </w:r>
      <w:r w:rsidR="006E37E1" w:rsidRPr="006E37E1">
        <w:rPr>
          <w:lang w:val="fr-CH"/>
        </w:rPr>
        <w:t xml:space="preserve">technique en termes de disponibilité, de fiabilité et de continuité </w:t>
      </w:r>
      <w:r w:rsidR="0007037C">
        <w:rPr>
          <w:lang w:val="fr-CH"/>
        </w:rPr>
        <w:t>pour permettre à</w:t>
      </w:r>
      <w:r>
        <w:rPr>
          <w:lang w:val="fr-CH"/>
        </w:rPr>
        <w:t xml:space="preserve"> l</w:t>
      </w:r>
      <w:r w:rsidR="00EB6E30">
        <w:rPr>
          <w:lang w:val="fr-CH"/>
        </w:rPr>
        <w:t>'</w:t>
      </w:r>
      <w:r>
        <w:rPr>
          <w:lang w:val="fr-CH"/>
        </w:rPr>
        <w:t xml:space="preserve">UIT-R </w:t>
      </w:r>
      <w:r w:rsidR="0007037C">
        <w:rPr>
          <w:lang w:val="fr-CH"/>
        </w:rPr>
        <w:t>de</w:t>
      </w:r>
      <w:r>
        <w:rPr>
          <w:lang w:val="fr-CH"/>
        </w:rPr>
        <w:t xml:space="preserve"> </w:t>
      </w:r>
      <w:r w:rsidR="00EB6E30">
        <w:rPr>
          <w:lang w:val="fr-CH"/>
        </w:rPr>
        <w:t>calculer</w:t>
      </w:r>
      <w:r w:rsidR="006E37E1">
        <w:rPr>
          <w:lang w:val="fr-CH"/>
        </w:rPr>
        <w:t xml:space="preserve"> des critères de protection </w:t>
      </w:r>
      <w:r w:rsidR="0007037C">
        <w:rPr>
          <w:lang w:val="fr-CH"/>
        </w:rPr>
        <w:t xml:space="preserve">visant à </w:t>
      </w:r>
      <w:r w:rsidR="006E37E1">
        <w:rPr>
          <w:lang w:val="fr-CH"/>
        </w:rPr>
        <w:lastRenderedPageBreak/>
        <w:t xml:space="preserve">assurer </w:t>
      </w:r>
      <w:r w:rsidR="00EB6E30">
        <w:rPr>
          <w:lang w:val="fr-CH"/>
        </w:rPr>
        <w:t>la sécurité d'exploitation</w:t>
      </w:r>
      <w:r w:rsidR="007B57CE">
        <w:rPr>
          <w:lang w:val="fr-CH"/>
        </w:rPr>
        <w:t xml:space="preserve"> </w:t>
      </w:r>
      <w:r w:rsidR="006E37E1">
        <w:rPr>
          <w:lang w:val="fr-CH"/>
        </w:rPr>
        <w:t>des systèmes d</w:t>
      </w:r>
      <w:r w:rsidR="00B230CD">
        <w:rPr>
          <w:lang w:val="fr-CH"/>
        </w:rPr>
        <w:t>'</w:t>
      </w:r>
      <w:r w:rsidR="006E37E1">
        <w:rPr>
          <w:lang w:val="fr-CH"/>
        </w:rPr>
        <w:t xml:space="preserve">aéronef sans pilote et, en particulier, la protection des </w:t>
      </w:r>
      <w:r w:rsidR="006E37E1" w:rsidRPr="006E37E1">
        <w:rPr>
          <w:lang w:val="fr-CH"/>
        </w:rPr>
        <w:t>liaisons CNPC des systèmes</w:t>
      </w:r>
      <w:r w:rsidR="006E37E1">
        <w:rPr>
          <w:lang w:val="fr-CH"/>
        </w:rPr>
        <w:t xml:space="preserve"> UAS </w:t>
      </w:r>
      <w:r w:rsidR="007B57CE">
        <w:rPr>
          <w:lang w:val="fr-CH"/>
        </w:rPr>
        <w:t>vis-à-vis des</w:t>
      </w:r>
      <w:r w:rsidR="006E37E1">
        <w:rPr>
          <w:lang w:val="fr-CH"/>
        </w:rPr>
        <w:t xml:space="preserve"> services existants, étant donné que </w:t>
      </w:r>
      <w:r w:rsidR="00483210">
        <w:rPr>
          <w:lang w:val="fr-CH"/>
        </w:rPr>
        <w:t>l</w:t>
      </w:r>
      <w:r w:rsidR="007B57CE">
        <w:rPr>
          <w:lang w:val="fr-CH"/>
        </w:rPr>
        <w:t>'</w:t>
      </w:r>
      <w:r w:rsidR="00483210">
        <w:rPr>
          <w:lang w:val="fr-CH"/>
        </w:rPr>
        <w:t xml:space="preserve">utilisation de </w:t>
      </w:r>
      <w:r w:rsidR="006E37E1">
        <w:rPr>
          <w:lang w:val="fr-CH"/>
        </w:rPr>
        <w:t xml:space="preserve">ces liaisons </w:t>
      </w:r>
      <w:r w:rsidR="0007037C">
        <w:rPr>
          <w:lang w:val="fr-CH"/>
        </w:rPr>
        <w:t>entre dans</w:t>
      </w:r>
      <w:r w:rsidR="00483210">
        <w:rPr>
          <w:lang w:val="fr-CH"/>
        </w:rPr>
        <w:t xml:space="preserve"> le cadre des</w:t>
      </w:r>
      <w:r w:rsidR="0007037C">
        <w:rPr>
          <w:lang w:val="fr-CH"/>
        </w:rPr>
        <w:t xml:space="preserve"> services de sécurité</w:t>
      </w:r>
      <w:r w:rsidR="00483210">
        <w:rPr>
          <w:lang w:val="fr-CH"/>
        </w:rPr>
        <w:t xml:space="preserve"> </w:t>
      </w:r>
      <w:r w:rsidR="007B57CE">
        <w:rPr>
          <w:lang w:val="fr-CH"/>
        </w:rPr>
        <w:t>au sens</w:t>
      </w:r>
      <w:r w:rsidR="00483210">
        <w:rPr>
          <w:lang w:val="fr-CH"/>
        </w:rPr>
        <w:t xml:space="preserve"> du numéro </w:t>
      </w:r>
      <w:r w:rsidR="00483210" w:rsidRPr="00483210">
        <w:rPr>
          <w:b/>
          <w:bCs/>
          <w:lang w:val="fr-CH"/>
        </w:rPr>
        <w:t>4.10</w:t>
      </w:r>
      <w:r w:rsidR="00483210">
        <w:rPr>
          <w:lang w:val="fr-CH"/>
        </w:rPr>
        <w:t xml:space="preserve"> du RR.</w:t>
      </w:r>
      <w:r w:rsidR="0067684D">
        <w:rPr>
          <w:lang w:val="fr-CH"/>
        </w:rPr>
        <w:t xml:space="preserve"> En conséquence, </w:t>
      </w:r>
      <w:r w:rsidR="007B57CE">
        <w:rPr>
          <w:lang w:val="fr-CH"/>
        </w:rPr>
        <w:t xml:space="preserve">il n'est pas certain que </w:t>
      </w:r>
      <w:r w:rsidR="0067684D">
        <w:rPr>
          <w:lang w:val="fr-CH"/>
        </w:rPr>
        <w:t xml:space="preserve">les exigences du numéro </w:t>
      </w:r>
      <w:r w:rsidR="0067684D" w:rsidRPr="00FE7B7F">
        <w:rPr>
          <w:b/>
          <w:bCs/>
          <w:lang w:val="fr-CH"/>
        </w:rPr>
        <w:t>4.10</w:t>
      </w:r>
      <w:r w:rsidR="0067684D">
        <w:rPr>
          <w:lang w:val="fr-CH"/>
        </w:rPr>
        <w:t xml:space="preserve"> du RR </w:t>
      </w:r>
      <w:r w:rsidR="007B57CE">
        <w:rPr>
          <w:lang w:val="fr-CH"/>
        </w:rPr>
        <w:t xml:space="preserve">soient </w:t>
      </w:r>
      <w:r w:rsidR="0067684D">
        <w:rPr>
          <w:lang w:val="fr-CH"/>
        </w:rPr>
        <w:t>respectées</w:t>
      </w:r>
      <w:r w:rsidR="00483210">
        <w:rPr>
          <w:lang w:val="fr-CH"/>
        </w:rPr>
        <w:t>.</w:t>
      </w:r>
    </w:p>
    <w:p w:rsidR="00462A20" w:rsidRPr="00FC16C0" w:rsidRDefault="00FC16C0" w:rsidP="000A5D59">
      <w:pPr>
        <w:rPr>
          <w:lang w:val="fr-CH"/>
        </w:rPr>
      </w:pPr>
      <w:r w:rsidRPr="00FC16C0">
        <w:rPr>
          <w:lang w:val="fr-CH"/>
        </w:rPr>
        <w:t>Au vu de ce qui précède,</w:t>
      </w:r>
      <w:r w:rsidR="00301D56" w:rsidRPr="00301D56">
        <w:t xml:space="preserve"> </w:t>
      </w:r>
      <w:r w:rsidR="00301D56">
        <w:rPr>
          <w:lang w:val="fr-CH"/>
        </w:rPr>
        <w:t>d</w:t>
      </w:r>
      <w:r w:rsidR="00301D56" w:rsidRPr="00301D56">
        <w:rPr>
          <w:lang w:val="fr-CH"/>
        </w:rPr>
        <w:t xml:space="preserve">e très nombreux obstacles d'ordre technique, opérationnel </w:t>
      </w:r>
      <w:r w:rsidR="00AF2C13">
        <w:rPr>
          <w:lang w:val="fr-CH"/>
        </w:rPr>
        <w:t>et</w:t>
      </w:r>
      <w:r w:rsidR="00301D56" w:rsidRPr="00301D56">
        <w:rPr>
          <w:lang w:val="fr-CH"/>
        </w:rPr>
        <w:t xml:space="preserve"> réglementaire s'opposent à l'utilisation du SFS pour assurer les liaisons CNPC de</w:t>
      </w:r>
      <w:r w:rsidR="00301D56">
        <w:rPr>
          <w:lang w:val="fr-CH"/>
        </w:rPr>
        <w:t xml:space="preserve">s systèmes </w:t>
      </w:r>
      <w:r>
        <w:rPr>
          <w:lang w:val="fr-CH"/>
        </w:rPr>
        <w:t>UAS. De plus,</w:t>
      </w:r>
      <w:r w:rsidRPr="00FC16C0">
        <w:rPr>
          <w:lang w:val="fr-CH"/>
        </w:rPr>
        <w:t xml:space="preserve"> </w:t>
      </w:r>
      <w:r>
        <w:rPr>
          <w:lang w:val="fr-CH"/>
        </w:rPr>
        <w:t xml:space="preserve">les </w:t>
      </w:r>
      <w:r w:rsidRPr="00FC16C0">
        <w:rPr>
          <w:lang w:val="fr-CH"/>
        </w:rPr>
        <w:t xml:space="preserve">attributions </w:t>
      </w:r>
      <w:r w:rsidR="007B57CE">
        <w:rPr>
          <w:lang w:val="fr-CH"/>
        </w:rPr>
        <w:t>existantes au</w:t>
      </w:r>
      <w:r>
        <w:rPr>
          <w:lang w:val="fr-CH"/>
        </w:rPr>
        <w:t xml:space="preserve"> </w:t>
      </w:r>
      <w:r w:rsidRPr="00FC16C0">
        <w:rPr>
          <w:lang w:val="fr-CH"/>
        </w:rPr>
        <w:t>SMA(R)</w:t>
      </w:r>
      <w:r w:rsidR="000A5D59">
        <w:rPr>
          <w:lang w:val="fr-CH"/>
        </w:rPr>
        <w:t>S</w:t>
      </w:r>
      <w:r>
        <w:rPr>
          <w:lang w:val="fr-CH"/>
        </w:rPr>
        <w:t xml:space="preserve">, </w:t>
      </w:r>
      <w:r w:rsidR="000A5D59">
        <w:rPr>
          <w:lang w:val="fr-CH"/>
        </w:rPr>
        <w:t>au</w:t>
      </w:r>
      <w:r w:rsidR="0067684D">
        <w:rPr>
          <w:lang w:val="fr-CH"/>
        </w:rPr>
        <w:t xml:space="preserve"> SMAS</w:t>
      </w:r>
      <w:r>
        <w:rPr>
          <w:lang w:val="fr-CH"/>
        </w:rPr>
        <w:t xml:space="preserve"> et </w:t>
      </w:r>
      <w:r w:rsidR="000A5D59">
        <w:rPr>
          <w:lang w:val="fr-CH"/>
        </w:rPr>
        <w:t>au</w:t>
      </w:r>
      <w:r>
        <w:rPr>
          <w:lang w:val="fr-CH"/>
        </w:rPr>
        <w:t xml:space="preserve"> </w:t>
      </w:r>
      <w:r w:rsidRPr="00FC16C0">
        <w:rPr>
          <w:lang w:val="fr-CH"/>
        </w:rPr>
        <w:t>SMS</w:t>
      </w:r>
      <w:r>
        <w:rPr>
          <w:lang w:val="fr-CH"/>
        </w:rPr>
        <w:t xml:space="preserve"> pourraient, dans certaines </w:t>
      </w:r>
      <w:r w:rsidR="000A5D59">
        <w:rPr>
          <w:lang w:val="fr-CH"/>
        </w:rPr>
        <w:t>conditions</w:t>
      </w:r>
      <w:r>
        <w:rPr>
          <w:lang w:val="fr-CH"/>
        </w:rPr>
        <w:t xml:space="preserve">, </w:t>
      </w:r>
      <w:r w:rsidR="000A5D59">
        <w:rPr>
          <w:lang w:val="fr-CH"/>
        </w:rPr>
        <w:t>répondre aux besoins</w:t>
      </w:r>
      <w:r w:rsidR="00A37D72" w:rsidRPr="00A37D72">
        <w:rPr>
          <w:lang w:val="fr-CH"/>
        </w:rPr>
        <w:t xml:space="preserve"> des liaisons CNPC des systèmes d'aéronef sans pilote dans les bandes de fréqu</w:t>
      </w:r>
      <w:r w:rsidR="00A37D72">
        <w:rPr>
          <w:lang w:val="fr-CH"/>
        </w:rPr>
        <w:t>ences attribuées à ces services</w:t>
      </w:r>
      <w:r>
        <w:rPr>
          <w:lang w:val="fr-CH"/>
        </w:rPr>
        <w:t>.</w:t>
      </w:r>
    </w:p>
    <w:p w:rsidR="00462A20" w:rsidRPr="00FC16C0" w:rsidRDefault="00FC16C0" w:rsidP="00462A20">
      <w:pPr>
        <w:pStyle w:val="Headingb"/>
        <w:rPr>
          <w:lang w:val="fr-CH" w:eastAsia="en-GB"/>
        </w:rPr>
      </w:pPr>
      <w:r w:rsidRPr="00FC16C0">
        <w:rPr>
          <w:lang w:val="fr-CH" w:eastAsia="en-GB"/>
        </w:rPr>
        <w:t>Propositions</w:t>
      </w:r>
    </w:p>
    <w:p w:rsidR="0015203F" w:rsidRPr="00FC16C0" w:rsidRDefault="00301D56" w:rsidP="000A5D59">
      <w:pPr>
        <w:rPr>
          <w:lang w:val="fr-CH"/>
        </w:rPr>
      </w:pPr>
      <w:r>
        <w:rPr>
          <w:lang w:val="fr-CH"/>
        </w:rPr>
        <w:t>Etant donnés les</w:t>
      </w:r>
      <w:r w:rsidR="00FC16C0" w:rsidRPr="00FC16C0">
        <w:rPr>
          <w:lang w:val="fr-CH"/>
        </w:rPr>
        <w:t xml:space="preserve"> résultats des études de l</w:t>
      </w:r>
      <w:r w:rsidR="000A5D59">
        <w:rPr>
          <w:lang w:val="fr-CH"/>
        </w:rPr>
        <w:t>'</w:t>
      </w:r>
      <w:r w:rsidR="00FC16C0" w:rsidRPr="00FC16C0">
        <w:rPr>
          <w:lang w:val="fr-CH"/>
        </w:rPr>
        <w:t>UIT-R, les</w:t>
      </w:r>
      <w:r w:rsidR="00FC16C0">
        <w:rPr>
          <w:lang w:val="fr-CH"/>
        </w:rPr>
        <w:t xml:space="preserve"> Administrations des Etats arabes </w:t>
      </w:r>
      <w:r>
        <w:rPr>
          <w:lang w:val="fr-CH"/>
        </w:rPr>
        <w:t>proposent ce qui suit</w:t>
      </w:r>
      <w:r w:rsidR="00FC16C0">
        <w:rPr>
          <w:lang w:val="fr-CH"/>
        </w:rPr>
        <w:t xml:space="preserve">: </w:t>
      </w:r>
    </w:p>
    <w:p w:rsidR="004A6A8C" w:rsidRDefault="00E31C8D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E31C8D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CE440C" w:rsidRDefault="00E31C8D">
      <w:pPr>
        <w:pStyle w:val="Proposal"/>
      </w:pPr>
      <w:r>
        <w:rPr>
          <w:u w:val="single"/>
        </w:rPr>
        <w:t>NOC</w:t>
      </w:r>
      <w:r>
        <w:tab/>
        <w:t>ARB/25A5/1</w:t>
      </w:r>
    </w:p>
    <w:p w:rsidR="004A6A8C" w:rsidRPr="00375EEA" w:rsidRDefault="00E31C8D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A37D72">
        <w:rPr>
          <w:b w:val="0"/>
          <w:bCs/>
        </w:rPr>
        <w:t>(Voir le numéro</w:t>
      </w:r>
      <w:r w:rsidRPr="00260AE5">
        <w:t xml:space="preserve"> 2.1</w:t>
      </w:r>
      <w:r w:rsidRPr="00A37D72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CE440C" w:rsidRDefault="00E31C8D" w:rsidP="000A5D59">
      <w:pPr>
        <w:pStyle w:val="Reasons"/>
      </w:pPr>
      <w:r>
        <w:rPr>
          <w:b/>
        </w:rPr>
        <w:t>Motifs:</w:t>
      </w:r>
      <w:r>
        <w:tab/>
      </w:r>
      <w:r w:rsidR="00A37D72" w:rsidRPr="00A37D72">
        <w:t xml:space="preserve">De très nombreux obstacles d'ordre technique, opérationnel </w:t>
      </w:r>
      <w:r w:rsidR="00AF2C13">
        <w:t>et</w:t>
      </w:r>
      <w:r w:rsidR="00A37D72" w:rsidRPr="00A37D72">
        <w:t xml:space="preserve"> réglementaire s'opposent à l'utilisation du SFS pour assurer les liaisons CNPC des</w:t>
      </w:r>
      <w:r w:rsidR="00A37D72">
        <w:t xml:space="preserve"> systèmes d'aéronef sans pilote;</w:t>
      </w:r>
      <w:r w:rsidR="00A37D72" w:rsidRPr="00A37D72">
        <w:t xml:space="preserve"> </w:t>
      </w:r>
      <w:r w:rsidR="00A37D72">
        <w:t>en outre</w:t>
      </w:r>
      <w:r w:rsidR="00A37D72" w:rsidRPr="00A37D72">
        <w:t>, les attributions existantes au SMA(R)</w:t>
      </w:r>
      <w:r w:rsidR="000A5D59">
        <w:t>S</w:t>
      </w:r>
      <w:r w:rsidR="00A37D72">
        <w:t>,</w:t>
      </w:r>
      <w:r w:rsidR="00A37D72" w:rsidRPr="00A37D72">
        <w:t xml:space="preserve"> au SMAS et au SMS pourraient, dans certaines conditions, </w:t>
      </w:r>
      <w:r w:rsidR="000A5D59">
        <w:t>répondre aux besoins</w:t>
      </w:r>
      <w:r w:rsidR="00A37D72" w:rsidRPr="00A37D72">
        <w:t xml:space="preserve"> des liaisons CNPC des systèmes d'aéronef sans pilote dans les bandes de fréquences attribuées à ces services.</w:t>
      </w:r>
    </w:p>
    <w:p w:rsidR="00CE440C" w:rsidRDefault="00E31C8D">
      <w:pPr>
        <w:pStyle w:val="Proposal"/>
      </w:pPr>
      <w:r>
        <w:t>SUP</w:t>
      </w:r>
      <w:r>
        <w:tab/>
        <w:t>ARB/25A5/2</w:t>
      </w:r>
    </w:p>
    <w:p w:rsidR="00DD4258" w:rsidRPr="00EC29C7" w:rsidRDefault="00E31C8D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153</w:t>
      </w:r>
      <w:r w:rsidRPr="00EC29C7">
        <w:t xml:space="preserve"> (CMR-12)</w:t>
      </w:r>
    </w:p>
    <w:p w:rsidR="00DD4258" w:rsidRPr="009C7CEE" w:rsidRDefault="00E31C8D" w:rsidP="00AC1F0E">
      <w:pPr>
        <w:pStyle w:val="Restitle"/>
      </w:pPr>
      <w:r w:rsidRPr="009C7CEE">
        <w:t xml:space="preserve">Examen de l'utilisation des bandes de fréquences attribuées au service fixe </w:t>
      </w:r>
      <w:r w:rsidRPr="009C7CEE">
        <w:br/>
        <w:t xml:space="preserve">par satellite qui ne relèvent pas des Appendices 30, 30A et 30B pour </w:t>
      </w:r>
      <w:r w:rsidRPr="009C7CEE">
        <w:br/>
        <w:t xml:space="preserve">les communications de contrôle et non associées à la charge utile des </w:t>
      </w:r>
      <w:r w:rsidRPr="009C7CEE">
        <w:br/>
        <w:t>systèmes d'aéronefs sans pilote dans les espaces aériens non réservés</w:t>
      </w:r>
    </w:p>
    <w:p w:rsidR="00CE440C" w:rsidRDefault="00E31C8D" w:rsidP="004B5170">
      <w:pPr>
        <w:pStyle w:val="Reasons"/>
      </w:pPr>
      <w:r>
        <w:rPr>
          <w:b/>
        </w:rPr>
        <w:t>Motifs:</w:t>
      </w:r>
      <w:r>
        <w:tab/>
      </w:r>
      <w:r w:rsidR="00B62555">
        <w:t>Cette résolution n</w:t>
      </w:r>
      <w:r w:rsidR="004B5170">
        <w:t>'est pas nécessaire</w:t>
      </w:r>
      <w:r w:rsidR="00B62555">
        <w:t>.</w:t>
      </w:r>
    </w:p>
    <w:p w:rsidR="008B2319" w:rsidRDefault="008B2319" w:rsidP="0032202E">
      <w:pPr>
        <w:pStyle w:val="Reasons"/>
      </w:pPr>
    </w:p>
    <w:p w:rsidR="008B2319" w:rsidRDefault="008B2319">
      <w:pPr>
        <w:jc w:val="center"/>
      </w:pPr>
      <w:r>
        <w:t>______________</w:t>
      </w:r>
    </w:p>
    <w:sectPr w:rsidR="008B231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A5" w:rsidRDefault="005851A5">
      <w:r>
        <w:separator/>
      </w:r>
    </w:p>
  </w:endnote>
  <w:endnote w:type="continuationSeparator" w:id="0">
    <w:p w:rsidR="005851A5" w:rsidRDefault="0058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6371">
      <w:rPr>
        <w:noProof/>
      </w:rPr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307E">
      <w:rPr>
        <w:lang w:val="en-US"/>
      </w:rPr>
      <w:t>P:\FRA\ITU-R\CONF-R\CMR15\000\025ADD05F.docx</w:t>
    </w:r>
    <w:r>
      <w:fldChar w:fldCharType="end"/>
    </w:r>
    <w:r w:rsidR="0015307E">
      <w:t xml:space="preserve"> (386855)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6371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307E">
      <w:rPr>
        <w:lang w:val="en-US"/>
      </w:rPr>
      <w:t>P:\FRA\ITU-R\CONF-R\CMR15\000\025ADD05F.docx</w:t>
    </w:r>
    <w:r>
      <w:fldChar w:fldCharType="end"/>
    </w:r>
    <w:r w:rsidR="0015307E">
      <w:t xml:space="preserve"> (386855)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6371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A5" w:rsidRDefault="005851A5">
      <w:r>
        <w:rPr>
          <w:b/>
        </w:rPr>
        <w:t>_______________</w:t>
      </w:r>
    </w:p>
  </w:footnote>
  <w:footnote w:type="continuationSeparator" w:id="0">
    <w:p w:rsidR="005851A5" w:rsidRDefault="0058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E6371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7037C"/>
    <w:rsid w:val="00080E2C"/>
    <w:rsid w:val="000A4755"/>
    <w:rsid w:val="000A5D59"/>
    <w:rsid w:val="000B2E0C"/>
    <w:rsid w:val="000B3D0C"/>
    <w:rsid w:val="000E6371"/>
    <w:rsid w:val="001167B9"/>
    <w:rsid w:val="001267A0"/>
    <w:rsid w:val="0015203F"/>
    <w:rsid w:val="0015307E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01D56"/>
    <w:rsid w:val="00315AFE"/>
    <w:rsid w:val="003606A6"/>
    <w:rsid w:val="0036650C"/>
    <w:rsid w:val="00393ACD"/>
    <w:rsid w:val="003A583E"/>
    <w:rsid w:val="003E112B"/>
    <w:rsid w:val="003E1D1C"/>
    <w:rsid w:val="003E7B05"/>
    <w:rsid w:val="00462A20"/>
    <w:rsid w:val="00466211"/>
    <w:rsid w:val="00483210"/>
    <w:rsid w:val="004834A9"/>
    <w:rsid w:val="004865B1"/>
    <w:rsid w:val="004B5170"/>
    <w:rsid w:val="004D01FC"/>
    <w:rsid w:val="004E28C3"/>
    <w:rsid w:val="004F1F8E"/>
    <w:rsid w:val="00512A32"/>
    <w:rsid w:val="005167E9"/>
    <w:rsid w:val="005851A5"/>
    <w:rsid w:val="00586CF2"/>
    <w:rsid w:val="005C3768"/>
    <w:rsid w:val="005C6C3F"/>
    <w:rsid w:val="005D710D"/>
    <w:rsid w:val="00613635"/>
    <w:rsid w:val="0062093D"/>
    <w:rsid w:val="00621A9E"/>
    <w:rsid w:val="00637ECF"/>
    <w:rsid w:val="00647B59"/>
    <w:rsid w:val="0067684D"/>
    <w:rsid w:val="00690C7B"/>
    <w:rsid w:val="006A4B45"/>
    <w:rsid w:val="006D4724"/>
    <w:rsid w:val="006E37E1"/>
    <w:rsid w:val="00701BAE"/>
    <w:rsid w:val="00721F04"/>
    <w:rsid w:val="00730E95"/>
    <w:rsid w:val="007426B9"/>
    <w:rsid w:val="00764342"/>
    <w:rsid w:val="00774362"/>
    <w:rsid w:val="00786598"/>
    <w:rsid w:val="007A04E8"/>
    <w:rsid w:val="007B57CE"/>
    <w:rsid w:val="00840C65"/>
    <w:rsid w:val="00851625"/>
    <w:rsid w:val="00863C0A"/>
    <w:rsid w:val="008A3120"/>
    <w:rsid w:val="008B2319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37D72"/>
    <w:rsid w:val="00A606C3"/>
    <w:rsid w:val="00A62D4B"/>
    <w:rsid w:val="00A83B09"/>
    <w:rsid w:val="00A84541"/>
    <w:rsid w:val="00AB2A25"/>
    <w:rsid w:val="00AE36A0"/>
    <w:rsid w:val="00AF2C13"/>
    <w:rsid w:val="00B00294"/>
    <w:rsid w:val="00B230CD"/>
    <w:rsid w:val="00B62555"/>
    <w:rsid w:val="00B64FD0"/>
    <w:rsid w:val="00BA5BD0"/>
    <w:rsid w:val="00BB1D82"/>
    <w:rsid w:val="00BF26E7"/>
    <w:rsid w:val="00C53FCA"/>
    <w:rsid w:val="00C76BAF"/>
    <w:rsid w:val="00C814B9"/>
    <w:rsid w:val="00CD516F"/>
    <w:rsid w:val="00CE440C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1C8D"/>
    <w:rsid w:val="00E37A25"/>
    <w:rsid w:val="00E537FF"/>
    <w:rsid w:val="00E6539B"/>
    <w:rsid w:val="00E70A31"/>
    <w:rsid w:val="00EA3F38"/>
    <w:rsid w:val="00EA5AB6"/>
    <w:rsid w:val="00EB6E30"/>
    <w:rsid w:val="00EC7615"/>
    <w:rsid w:val="00ED16AA"/>
    <w:rsid w:val="00EF1EEA"/>
    <w:rsid w:val="00EF662E"/>
    <w:rsid w:val="00F148F1"/>
    <w:rsid w:val="00F174B0"/>
    <w:rsid w:val="00FA3BBF"/>
    <w:rsid w:val="00FC16C0"/>
    <w:rsid w:val="00FC41F8"/>
    <w:rsid w:val="00FC761B"/>
    <w:rsid w:val="00FD682A"/>
    <w:rsid w:val="00FE7B7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CE5E709-2278-4F55-B80D-5AFDE5B4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R15-WRC15-C-0025!A5!MSW-F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ECEC4-3BCD-4E9A-8B06-04B6DFC8F2EB}">
  <ds:schemaRefs>
    <ds:schemaRef ds:uri="996b2e75-67fd-4955-a3b0-5ab9934cb50b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744132-ABCE-46FC-871D-E45EC41B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667</Words>
  <Characters>3816</Characters>
  <Application>Microsoft Office Word</Application>
  <DocSecurity>0</DocSecurity>
  <Lines>146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R15-WRC15-C-0025!A5!MSW-F</vt:lpstr>
    </vt:vector>
  </TitlesOfParts>
  <Manager>Secrétariat général - Pool</Manager>
  <Company>Union internationale des télécommunications (UIT)</Company>
  <LinksUpToDate>false</LinksUpToDate>
  <CharactersWithSpaces>4403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R15-WRC15-C-0025!A5!MSW-F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14</cp:revision>
  <cp:lastPrinted>2003-06-05T19:34:00Z</cp:lastPrinted>
  <dcterms:created xsi:type="dcterms:W3CDTF">2015-09-29T09:02:00Z</dcterms:created>
  <dcterms:modified xsi:type="dcterms:W3CDTF">2015-09-29T12:50:00Z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