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A2DF0" w:rsidRDefault="003E1608" w:rsidP="00F32B10">
            <w:pPr>
              <w:pStyle w:val="Adress"/>
              <w:framePr w:hSpace="0" w:wrap="auto" w:xAlign="left" w:yAlign="inline"/>
              <w:rPr>
                <w:rFonts w:ascii="Verdana" w:hAnsi="Verdana" w:hint="cs"/>
                <w:rtl/>
              </w:rPr>
            </w:pPr>
            <w:r w:rsidRPr="001A2DF0">
              <w:rPr>
                <w:rFonts w:ascii="Verdana" w:hAnsi="Verdana"/>
                <w:rtl/>
              </w:rPr>
              <w:t xml:space="preserve">الإضافة </w:t>
            </w:r>
            <w:r w:rsidRPr="001A2DF0">
              <w:rPr>
                <w:rFonts w:ascii="Verdana" w:hAnsi="Verdana"/>
              </w:rPr>
              <w:t>8</w:t>
            </w:r>
            <w:r w:rsidRPr="001A2DF0">
              <w:rPr>
                <w:rFonts w:ascii="Verdana" w:hAnsi="Verdana"/>
              </w:rPr>
              <w:br/>
            </w:r>
            <w:r w:rsidRPr="001A2DF0">
              <w:rPr>
                <w:rFonts w:ascii="Verdana" w:hAnsi="Verdana"/>
                <w:rtl/>
              </w:rPr>
              <w:t xml:space="preserve">للوثيقة </w:t>
            </w:r>
            <w:r w:rsidRPr="001A2DF0">
              <w:rPr>
                <w:rFonts w:ascii="Verdana" w:hAnsi="Verdana"/>
              </w:rPr>
              <w:t>25</w:t>
            </w:r>
            <w:r w:rsidR="00F32B10">
              <w:rPr>
                <w:rFonts w:ascii="Verdana" w:hAnsi="Verdana"/>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1A2DF0" w:rsidRDefault="00764079" w:rsidP="00D44350">
            <w:pPr>
              <w:pStyle w:val="Adress"/>
              <w:framePr w:hSpace="0" w:wrap="auto" w:xAlign="left" w:yAlign="inline"/>
              <w:rPr>
                <w:rFonts w:ascii="Verdana" w:hAnsi="Verdana"/>
                <w:rtl/>
              </w:rPr>
            </w:pPr>
            <w:r w:rsidRPr="001A2DF0">
              <w:rPr>
                <w:rFonts w:ascii="Verdana" w:eastAsia="SimSun" w:hAnsi="Verdana"/>
              </w:rPr>
              <w:t>10</w:t>
            </w:r>
            <w:r w:rsidRPr="001A2DF0">
              <w:rPr>
                <w:rFonts w:ascii="Verdana" w:eastAsia="SimSun" w:hAnsi="Verdana"/>
                <w:rtl/>
              </w:rPr>
              <w:t xml:space="preserve"> سبتمبر </w:t>
            </w:r>
            <w:r w:rsidRPr="001A2DF0">
              <w:rPr>
                <w:rFonts w:ascii="Verdana" w:eastAsia="SimSun" w:hAnsi="Verdana"/>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1A2DF0" w:rsidRDefault="00764079" w:rsidP="00D44350">
            <w:pPr>
              <w:pStyle w:val="Adress"/>
              <w:framePr w:hSpace="0" w:wrap="auto" w:xAlign="left" w:yAlign="inline"/>
              <w:rPr>
                <w:rFonts w:ascii="Verdana" w:eastAsia="SimSun" w:hAnsi="Verdana"/>
              </w:rPr>
            </w:pPr>
            <w:r w:rsidRPr="001A2DF0">
              <w:rPr>
                <w:rFonts w:ascii="Verdana" w:eastAsia="SimSun" w:hAnsi="Verdana"/>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1A2DF0" w:rsidP="00D44350">
            <w:pPr>
              <w:pStyle w:val="Title1"/>
              <w:spacing w:before="240"/>
              <w:rPr>
                <w:rtl/>
              </w:rPr>
            </w:pPr>
            <w:r>
              <w:rPr>
                <w:rFonts w:hint="cs"/>
                <w:rtl/>
              </w:rPr>
              <w:t>مقترحات بشأن أعمال ال</w:t>
            </w:r>
            <w:r w:rsidR="004612E1">
              <w:rPr>
                <w:rFonts w:hint="cs"/>
                <w:rtl/>
              </w:rPr>
              <w:t>‍</w:t>
            </w:r>
            <w:r>
              <w:rPr>
                <w:rFonts w:hint="cs"/>
                <w:rtl/>
              </w:rPr>
              <w:t>مؤت</w:t>
            </w:r>
            <w:r w:rsidR="004612E1">
              <w:rPr>
                <w:rFonts w:hint="cs"/>
                <w:rtl/>
              </w:rPr>
              <w:t>‍</w:t>
            </w:r>
            <w:r>
              <w:rPr>
                <w:rFonts w:hint="cs"/>
                <w:rtl/>
              </w:rPr>
              <w:t>مر</w:t>
            </w:r>
          </w:p>
        </w:tc>
      </w:tr>
      <w:tr w:rsidR="00764079" w:rsidTr="003E1608">
        <w:trPr>
          <w:cantSplit/>
        </w:trPr>
        <w:tc>
          <w:tcPr>
            <w:tcW w:w="9672" w:type="dxa"/>
            <w:gridSpan w:val="2"/>
          </w:tcPr>
          <w:p w:rsidR="00764079" w:rsidRPr="00BD6EF3" w:rsidRDefault="00764079" w:rsidP="001A2DF0">
            <w:pPr>
              <w:rPr>
                <w:rtl/>
              </w:rPr>
            </w:pPr>
          </w:p>
        </w:tc>
      </w:tr>
      <w:tr w:rsidR="00764079" w:rsidTr="003E1608">
        <w:trPr>
          <w:cantSplit/>
        </w:trPr>
        <w:tc>
          <w:tcPr>
            <w:tcW w:w="9672" w:type="dxa"/>
            <w:gridSpan w:val="2"/>
          </w:tcPr>
          <w:p w:rsidR="00764079" w:rsidRPr="002919E1" w:rsidRDefault="00764079" w:rsidP="008679C8">
            <w:pPr>
              <w:pStyle w:val="Agendaitem"/>
              <w:spacing w:before="240" w:line="192" w:lineRule="auto"/>
            </w:pPr>
            <w:r w:rsidRPr="008204AC">
              <w:rPr>
                <w:rtl/>
              </w:rPr>
              <w:t xml:space="preserve">البنـد </w:t>
            </w:r>
            <w:r w:rsidR="008679C8">
              <w:rPr>
                <w:lang w:val="en-US"/>
              </w:rPr>
              <w:t>8.1</w:t>
            </w:r>
            <w:r w:rsidRPr="008204AC">
              <w:rPr>
                <w:rtl/>
              </w:rPr>
              <w:t xml:space="preserve"> من جدول الأعمال</w:t>
            </w:r>
          </w:p>
        </w:tc>
      </w:tr>
    </w:tbl>
    <w:p w:rsidR="001D597A" w:rsidRPr="00431196" w:rsidRDefault="00E104CF" w:rsidP="001F0600">
      <w:pPr>
        <w:pStyle w:val="Normalaftertitle"/>
        <w:rPr>
          <w:rFonts w:eastAsia="SimSun"/>
          <w:rtl/>
        </w:rPr>
      </w:pPr>
      <w:r w:rsidRPr="00431196">
        <w:rPr>
          <w:rFonts w:eastAsia="SimSun"/>
        </w:rPr>
        <w:t>8.1</w:t>
      </w:r>
      <w:r w:rsidRPr="00431196">
        <w:rPr>
          <w:rFonts w:eastAsia="SimSun" w:hint="cs"/>
          <w:rtl/>
        </w:rPr>
        <w:tab/>
        <w:t>استعراض الأحكام المتعلقة بالمحطات الأرضية المقامة على متن السفن </w:t>
      </w:r>
      <w:r w:rsidRPr="00431196">
        <w:rPr>
          <w:rFonts w:eastAsia="SimSun"/>
        </w:rPr>
        <w:t>(ESV)</w:t>
      </w:r>
      <w:r w:rsidRPr="00431196">
        <w:rPr>
          <w:rFonts w:eastAsia="SimSun" w:hint="cs"/>
          <w:rtl/>
        </w:rPr>
        <w:t>، استناداً إلى الدراسات التي أُجريت وفقاً للقرار</w:t>
      </w:r>
      <w:r w:rsidR="00702406">
        <w:rPr>
          <w:rFonts w:eastAsia="SimSun" w:hint="eastAsia"/>
          <w:rtl/>
        </w:rPr>
        <w:t> </w:t>
      </w:r>
      <w:r w:rsidRPr="00431196">
        <w:rPr>
          <w:rFonts w:eastAsia="SimSun"/>
          <w:b/>
          <w:bCs/>
        </w:rPr>
        <w:t>909 (WRC</w:t>
      </w:r>
      <w:r w:rsidRPr="00431196">
        <w:rPr>
          <w:rFonts w:eastAsia="SimSun"/>
          <w:b/>
          <w:bCs/>
        </w:rPr>
        <w:sym w:font="Symbol" w:char="F02D"/>
      </w:r>
      <w:r w:rsidRPr="00431196">
        <w:rPr>
          <w:rFonts w:eastAsia="SimSun"/>
          <w:b/>
          <w:bCs/>
        </w:rPr>
        <w:t>12)</w:t>
      </w:r>
      <w:r w:rsidRPr="00431196">
        <w:rPr>
          <w:rFonts w:eastAsia="SimSun" w:hint="cs"/>
          <w:rtl/>
        </w:rPr>
        <w:t>؛</w:t>
      </w:r>
    </w:p>
    <w:p w:rsidR="00702406" w:rsidRPr="00702406" w:rsidRDefault="00677401" w:rsidP="00702406">
      <w:pPr>
        <w:pStyle w:val="Headingb"/>
        <w:rPr>
          <w:rtl/>
        </w:rPr>
      </w:pPr>
      <w:r>
        <w:rPr>
          <w:rFonts w:hint="cs"/>
          <w:rtl/>
        </w:rPr>
        <w:t>مقدمة</w:t>
      </w:r>
    </w:p>
    <w:p w:rsidR="00702406" w:rsidRPr="00702406" w:rsidRDefault="00702406" w:rsidP="00442A7A">
      <w:pPr>
        <w:rPr>
          <w:rFonts w:hint="cs"/>
          <w:rtl/>
          <w:lang w:bidi="ar-EG"/>
        </w:rPr>
      </w:pPr>
      <w:r w:rsidRPr="00702406">
        <w:rPr>
          <w:rFonts w:hint="cs"/>
          <w:rtl/>
        </w:rPr>
        <w:t xml:space="preserve">قرر المؤتمر العالمي للاتصالات الراديوية لعام </w:t>
      </w:r>
      <w:r w:rsidRPr="00702406">
        <w:t>2012</w:t>
      </w:r>
      <w:r w:rsidRPr="00702406">
        <w:rPr>
          <w:rFonts w:hint="cs"/>
          <w:rtl/>
        </w:rPr>
        <w:t xml:space="preserve"> </w:t>
      </w:r>
      <w:r w:rsidRPr="00702406">
        <w:t>(WRC</w:t>
      </w:r>
      <w:r w:rsidRPr="00702406">
        <w:noBreakHyphen/>
        <w:t>12)</w:t>
      </w:r>
      <w:r w:rsidRPr="00702406">
        <w:rPr>
          <w:rFonts w:hint="cs"/>
          <w:rtl/>
        </w:rPr>
        <w:t xml:space="preserve"> مراجعة الأحكام المتعلقة بالمحطات الأرضية العاملة في</w:t>
      </w:r>
      <w:r>
        <w:rPr>
          <w:rFonts w:hint="eastAsia"/>
          <w:rtl/>
        </w:rPr>
        <w:t> </w:t>
      </w:r>
      <w:r w:rsidRPr="00702406">
        <w:rPr>
          <w:rFonts w:hint="cs"/>
          <w:rtl/>
        </w:rPr>
        <w:t>النطاق</w:t>
      </w:r>
      <w:r>
        <w:rPr>
          <w:rFonts w:hint="eastAsia"/>
          <w:rtl/>
        </w:rPr>
        <w:t> </w:t>
      </w:r>
      <w:r w:rsidRPr="00702406">
        <w:t>MHz 6 425</w:t>
      </w:r>
      <w:r>
        <w:noBreakHyphen/>
      </w:r>
      <w:r w:rsidRPr="00702406">
        <w:t>5 925</w:t>
      </w:r>
      <w:r w:rsidRPr="00702406">
        <w:rPr>
          <w:rFonts w:hint="cs"/>
          <w:rtl/>
        </w:rPr>
        <w:t xml:space="preserve"> (النطاق </w:t>
      </w:r>
      <w:r w:rsidRPr="00702406">
        <w:t>C</w:t>
      </w:r>
      <w:r w:rsidRPr="00702406">
        <w:rPr>
          <w:rFonts w:hint="cs"/>
          <w:rtl/>
        </w:rPr>
        <w:t xml:space="preserve">) والنطاق </w:t>
      </w:r>
      <w:r w:rsidRPr="00702406">
        <w:t>GHz 14,5-14</w:t>
      </w:r>
      <w:r w:rsidRPr="00702406">
        <w:rPr>
          <w:rFonts w:hint="cs"/>
          <w:rtl/>
        </w:rPr>
        <w:t xml:space="preserve"> (النطاق</w:t>
      </w:r>
      <w:r w:rsidR="00713D27">
        <w:rPr>
          <w:rFonts w:hint="eastAsia"/>
          <w:rtl/>
        </w:rPr>
        <w:t> </w:t>
      </w:r>
      <w:r w:rsidRPr="00702406">
        <w:t>Ku</w:t>
      </w:r>
      <w:r w:rsidRPr="00702406">
        <w:rPr>
          <w:rFonts w:hint="cs"/>
          <w:rtl/>
        </w:rPr>
        <w:t>) والموجودة على متن السفن</w:t>
      </w:r>
      <w:r w:rsidR="008679C8">
        <w:rPr>
          <w:rFonts w:hint="eastAsia"/>
          <w:rtl/>
        </w:rPr>
        <w:t> </w:t>
      </w:r>
      <w:r w:rsidRPr="00702406">
        <w:t>(ESV)</w:t>
      </w:r>
      <w:r w:rsidRPr="00702406">
        <w:rPr>
          <w:rFonts w:hint="cs"/>
          <w:rtl/>
        </w:rPr>
        <w:t xml:space="preserve"> تحضيراً للمؤتمر العالمي للاتصالات الراديوية لعام </w:t>
      </w:r>
      <w:r w:rsidRPr="00702406">
        <w:t>2015</w:t>
      </w:r>
      <w:r w:rsidRPr="00702406">
        <w:rPr>
          <w:rFonts w:hint="cs"/>
          <w:rtl/>
        </w:rPr>
        <w:t xml:space="preserve"> </w:t>
      </w:r>
      <w:r w:rsidRPr="00702406">
        <w:t>(WRC</w:t>
      </w:r>
      <w:r w:rsidRPr="00702406">
        <w:noBreakHyphen/>
        <w:t>15)</w:t>
      </w:r>
      <w:r w:rsidRPr="00702406">
        <w:rPr>
          <w:rFonts w:hint="cs"/>
          <w:rtl/>
          <w:lang w:bidi="ar-OM"/>
        </w:rPr>
        <w:t xml:space="preserve"> </w:t>
      </w:r>
      <w:r w:rsidR="009C2906">
        <w:rPr>
          <w:rFonts w:hint="cs"/>
          <w:rtl/>
          <w:lang w:bidi="ar-OM"/>
        </w:rPr>
        <w:t>استناداً</w:t>
      </w:r>
      <w:r w:rsidRPr="00702406">
        <w:rPr>
          <w:rFonts w:hint="cs"/>
          <w:rtl/>
          <w:lang w:bidi="ar-OM"/>
        </w:rPr>
        <w:t xml:space="preserve"> </w:t>
      </w:r>
      <w:r w:rsidR="00442A7A">
        <w:rPr>
          <w:rFonts w:hint="cs"/>
          <w:rtl/>
          <w:lang w:bidi="ar-OM"/>
        </w:rPr>
        <w:t>إلى</w:t>
      </w:r>
      <w:r w:rsidRPr="00702406">
        <w:rPr>
          <w:rFonts w:hint="cs"/>
          <w:rtl/>
          <w:lang w:bidi="ar-OM"/>
        </w:rPr>
        <w:t xml:space="preserve"> ا</w:t>
      </w:r>
      <w:r w:rsidRPr="00702406">
        <w:rPr>
          <w:rFonts w:hint="cs"/>
          <w:rtl/>
        </w:rPr>
        <w:t xml:space="preserve">لقرار </w:t>
      </w:r>
      <w:r w:rsidRPr="00A77528">
        <w:t>909 (WRC</w:t>
      </w:r>
      <w:r w:rsidRPr="00A77528">
        <w:noBreakHyphen/>
        <w:t>12)</w:t>
      </w:r>
      <w:r w:rsidRPr="00A77528">
        <w:rPr>
          <w:rFonts w:hint="cs"/>
          <w:rtl/>
        </w:rPr>
        <w:t xml:space="preserve"> و</w:t>
      </w:r>
      <w:bookmarkStart w:id="1" w:name="_GoBack"/>
      <w:bookmarkEnd w:id="1"/>
      <w:r w:rsidRPr="00A77528">
        <w:rPr>
          <w:rFonts w:hint="cs"/>
          <w:rtl/>
        </w:rPr>
        <w:t>الذي</w:t>
      </w:r>
      <w:r w:rsidRPr="00702406">
        <w:rPr>
          <w:rFonts w:hint="cs"/>
          <w:rtl/>
        </w:rPr>
        <w:t xml:space="preserve"> ينظر بصفة خاصة في</w:t>
      </w:r>
      <w:r w:rsidR="00A77528">
        <w:rPr>
          <w:rFonts w:hint="eastAsia"/>
          <w:rtl/>
        </w:rPr>
        <w:t> </w:t>
      </w:r>
      <w:r w:rsidRPr="00702406">
        <w:rPr>
          <w:rFonts w:hint="cs"/>
          <w:rtl/>
        </w:rPr>
        <w:t xml:space="preserve">الحاجة إلى مراجعة الحدود والقيود الواردة في </w:t>
      </w:r>
      <w:r w:rsidRPr="00A77528">
        <w:rPr>
          <w:rFonts w:hint="cs"/>
          <w:rtl/>
        </w:rPr>
        <w:t>القرار</w:t>
      </w:r>
      <w:r w:rsidRPr="00A77528">
        <w:rPr>
          <w:rFonts w:hint="eastAsia"/>
          <w:rtl/>
        </w:rPr>
        <w:t> </w:t>
      </w:r>
      <w:r w:rsidRPr="00A77528">
        <w:t>902 (WRC</w:t>
      </w:r>
      <w:r w:rsidRPr="00A77528">
        <w:noBreakHyphen/>
        <w:t>03)</w:t>
      </w:r>
      <w:r w:rsidRPr="00A77528">
        <w:rPr>
          <w:rFonts w:hint="cs"/>
          <w:rtl/>
        </w:rPr>
        <w:t xml:space="preserve"> واحتمال</w:t>
      </w:r>
      <w:r w:rsidRPr="00702406">
        <w:rPr>
          <w:rFonts w:hint="cs"/>
          <w:rtl/>
        </w:rPr>
        <w:t xml:space="preserve"> تنقيحها لتعكس التكنولوجيات والخصائص التقنية الحالية للمحطات </w:t>
      </w:r>
      <w:r w:rsidRPr="00702406">
        <w:t>ESV</w:t>
      </w:r>
      <w:r w:rsidRPr="00702406">
        <w:rPr>
          <w:rFonts w:hint="cs"/>
          <w:rtl/>
        </w:rPr>
        <w:t xml:space="preserve"> المستعملة أو المقرر استعمالها مع ضمان استمرار حماية الخدمات الأخرى التي تخصص لها نطاقات التردد</w:t>
      </w:r>
      <w:r w:rsidR="00A77528">
        <w:rPr>
          <w:rFonts w:hint="eastAsia"/>
          <w:rtl/>
        </w:rPr>
        <w:t> </w:t>
      </w:r>
      <w:r w:rsidRPr="00702406">
        <w:t>MHz 6 425-5 925</w:t>
      </w:r>
      <w:r w:rsidRPr="00702406">
        <w:rPr>
          <w:rFonts w:hint="cs"/>
          <w:rtl/>
        </w:rPr>
        <w:t xml:space="preserve"> و</w:t>
      </w:r>
      <w:r w:rsidRPr="00702406">
        <w:t>GHz 14,5-14</w:t>
      </w:r>
      <w:r w:rsidRPr="00702406">
        <w:rPr>
          <w:rFonts w:hint="cs"/>
          <w:rtl/>
        </w:rPr>
        <w:t>.</w:t>
      </w:r>
    </w:p>
    <w:p w:rsidR="00702406" w:rsidRPr="00702406" w:rsidRDefault="00702406" w:rsidP="00601505">
      <w:pPr>
        <w:rPr>
          <w:rtl/>
        </w:rPr>
      </w:pPr>
      <w:r w:rsidRPr="00702406">
        <w:rPr>
          <w:rFonts w:hint="cs"/>
          <w:rtl/>
        </w:rPr>
        <w:t xml:space="preserve">وتستعمل نطاقات التردد المشار إليها </w:t>
      </w:r>
      <w:r w:rsidRPr="00A77528">
        <w:rPr>
          <w:rFonts w:hint="cs"/>
          <w:rtl/>
        </w:rPr>
        <w:t xml:space="preserve">في القرار </w:t>
      </w:r>
      <w:r w:rsidRPr="00A77528">
        <w:t>909 (WRC</w:t>
      </w:r>
      <w:r w:rsidRPr="00A77528">
        <w:noBreakHyphen/>
        <w:t>12)</w:t>
      </w:r>
      <w:r w:rsidRPr="00A77528">
        <w:rPr>
          <w:rFonts w:hint="cs"/>
          <w:rtl/>
        </w:rPr>
        <w:t xml:space="preserve"> بشكل</w:t>
      </w:r>
      <w:r w:rsidRPr="00702406">
        <w:rPr>
          <w:rFonts w:hint="cs"/>
          <w:rtl/>
        </w:rPr>
        <w:t xml:space="preserve"> كبير في بعض البلدان للشبكات الأساسية الخلوية للمسافات المتوسطة والطويلة، ومن المرجح أن يزيد استعمالها. وتقدم الخدمات الأرضية هذه أيضاً أساس البنية التحتية في</w:t>
      </w:r>
      <w:r w:rsidR="00A77528">
        <w:rPr>
          <w:rFonts w:hint="eastAsia"/>
          <w:rtl/>
        </w:rPr>
        <w:t> </w:t>
      </w:r>
      <w:r w:rsidRPr="00702406">
        <w:rPr>
          <w:rFonts w:hint="cs"/>
          <w:rtl/>
        </w:rPr>
        <w:t>البلدان النامية بما في ذلك المحطات الأرضية القريبة من السواحل وتشير باتجاه البحر لاتصالات النطاق العريض للمجتمعات البعيدة أو</w:t>
      </w:r>
      <w:r w:rsidRPr="00702406">
        <w:rPr>
          <w:rFonts w:hint="eastAsia"/>
          <w:rtl/>
        </w:rPr>
        <w:t> </w:t>
      </w:r>
      <w:r w:rsidRPr="00702406">
        <w:rPr>
          <w:rFonts w:hint="cs"/>
          <w:rtl/>
        </w:rPr>
        <w:t>منصات النفط</w:t>
      </w:r>
      <w:r w:rsidR="00601505">
        <w:rPr>
          <w:rFonts w:hint="eastAsia"/>
          <w:rtl/>
        </w:rPr>
        <w:t> </w:t>
      </w:r>
      <w:r w:rsidRPr="00702406">
        <w:rPr>
          <w:rFonts w:hint="cs"/>
          <w:rtl/>
        </w:rPr>
        <w:t>البحرية.</w:t>
      </w:r>
    </w:p>
    <w:p w:rsidR="00702406" w:rsidRPr="008679C8" w:rsidRDefault="00702406" w:rsidP="0043705A">
      <w:pPr>
        <w:rPr>
          <w:spacing w:val="-2"/>
          <w:rtl/>
        </w:rPr>
      </w:pPr>
      <w:r w:rsidRPr="008679C8">
        <w:rPr>
          <w:rFonts w:hint="cs"/>
          <w:spacing w:val="-2"/>
          <w:rtl/>
        </w:rPr>
        <w:t>وبناء</w:t>
      </w:r>
      <w:r w:rsidR="008679C8" w:rsidRPr="008679C8">
        <w:rPr>
          <w:rFonts w:hint="cs"/>
          <w:spacing w:val="-2"/>
          <w:rtl/>
        </w:rPr>
        <w:t>ً</w:t>
      </w:r>
      <w:r w:rsidRPr="008679C8">
        <w:rPr>
          <w:rFonts w:hint="cs"/>
          <w:spacing w:val="-2"/>
          <w:rtl/>
        </w:rPr>
        <w:t xml:space="preserve"> على نتائج دراسات قطاع ال</w:t>
      </w:r>
      <w:r w:rsidR="0043705A" w:rsidRPr="008679C8">
        <w:rPr>
          <w:rFonts w:hint="cs"/>
          <w:spacing w:val="-2"/>
          <w:rtl/>
        </w:rPr>
        <w:t>ا</w:t>
      </w:r>
      <w:r w:rsidRPr="008679C8">
        <w:rPr>
          <w:rFonts w:hint="cs"/>
          <w:spacing w:val="-2"/>
          <w:rtl/>
        </w:rPr>
        <w:t xml:space="preserve">تصالات الراديوية التي جرت وفق القرار </w:t>
      </w:r>
      <w:r w:rsidRPr="008679C8">
        <w:rPr>
          <w:spacing w:val="-2"/>
        </w:rPr>
        <w:t>909 (WRC</w:t>
      </w:r>
      <w:r w:rsidRPr="008679C8">
        <w:rPr>
          <w:spacing w:val="-2"/>
        </w:rPr>
        <w:noBreakHyphen/>
        <w:t>12)</w:t>
      </w:r>
      <w:r w:rsidRPr="008679C8">
        <w:rPr>
          <w:rFonts w:hint="cs"/>
          <w:spacing w:val="-2"/>
          <w:rtl/>
        </w:rPr>
        <w:t xml:space="preserve"> فإن</w:t>
      </w:r>
      <w:r w:rsidR="008679C8" w:rsidRPr="008679C8">
        <w:rPr>
          <w:rFonts w:hint="cs"/>
          <w:spacing w:val="-2"/>
          <w:rtl/>
        </w:rPr>
        <w:t xml:space="preserve"> لدى هذه الإدارات</w:t>
      </w:r>
      <w:r w:rsidRPr="008679C8">
        <w:rPr>
          <w:rFonts w:hint="cs"/>
          <w:spacing w:val="-2"/>
          <w:rtl/>
        </w:rPr>
        <w:t xml:space="preserve"> الشواغل التالية:</w:t>
      </w:r>
    </w:p>
    <w:p w:rsidR="00702406" w:rsidRPr="00702406" w:rsidRDefault="00716E08" w:rsidP="00716E08">
      <w:pPr>
        <w:pStyle w:val="enumlev1"/>
        <w:rPr>
          <w:rtl/>
        </w:rPr>
      </w:pPr>
      <w:r>
        <w:sym w:font="Symbol" w:char="F0B7"/>
      </w:r>
      <w:r>
        <w:tab/>
      </w:r>
      <w:r w:rsidR="00702406" w:rsidRPr="00702406">
        <w:rPr>
          <w:rFonts w:hint="cs"/>
          <w:rtl/>
        </w:rPr>
        <w:t>إن أي تعديل على المسافة سيكون ضاراً لتشغيل الخدمات الأرضية للإدارة الساحلية وخاصة عندما تكون الخدمات الأرضية هذه هي البنية التحتية الوحيدة للاتصالات في هذه البلدان.</w:t>
      </w:r>
    </w:p>
    <w:p w:rsidR="00702406" w:rsidRPr="001C1F84" w:rsidRDefault="00716E08" w:rsidP="00716E08">
      <w:pPr>
        <w:pStyle w:val="enumlev1"/>
        <w:rPr>
          <w:spacing w:val="-2"/>
          <w:rtl/>
        </w:rPr>
      </w:pPr>
      <w:r>
        <w:sym w:font="Symbol" w:char="F0B7"/>
      </w:r>
      <w:r>
        <w:tab/>
      </w:r>
      <w:r w:rsidR="00702406" w:rsidRPr="001C1F84">
        <w:rPr>
          <w:rFonts w:hint="cs"/>
          <w:spacing w:val="-2"/>
          <w:rtl/>
        </w:rPr>
        <w:t xml:space="preserve">أن خفض مسافة الحماية للمشغلين </w:t>
      </w:r>
      <w:r w:rsidR="00702406" w:rsidRPr="001C1F84">
        <w:rPr>
          <w:spacing w:val="-2"/>
        </w:rPr>
        <w:t>ESV</w:t>
      </w:r>
      <w:r w:rsidR="00702406" w:rsidRPr="001C1F84">
        <w:rPr>
          <w:rFonts w:hint="cs"/>
          <w:spacing w:val="-2"/>
          <w:rtl/>
          <w:lang w:bidi="ar-OM"/>
        </w:rPr>
        <w:t xml:space="preserve"> </w:t>
      </w:r>
      <w:r w:rsidR="00702406" w:rsidRPr="001C1F84">
        <w:rPr>
          <w:rFonts w:hint="cs"/>
          <w:spacing w:val="-2"/>
          <w:rtl/>
        </w:rPr>
        <w:t>سيقابله زيادة في عبء العمل الواقع على الإدارات الساحلية التي تستعمل خدمات</w:t>
      </w:r>
      <w:r w:rsidR="00601505" w:rsidRPr="001C1F84">
        <w:rPr>
          <w:rFonts w:hint="eastAsia"/>
          <w:spacing w:val="-2"/>
          <w:rtl/>
        </w:rPr>
        <w:t> </w:t>
      </w:r>
      <w:r w:rsidR="00702406" w:rsidRPr="001C1F84">
        <w:rPr>
          <w:rFonts w:hint="cs"/>
          <w:spacing w:val="-2"/>
          <w:rtl/>
        </w:rPr>
        <w:t>أرضية.</w:t>
      </w:r>
    </w:p>
    <w:p w:rsidR="00702406" w:rsidRPr="00702406" w:rsidRDefault="00716E08" w:rsidP="00716E08">
      <w:pPr>
        <w:pStyle w:val="enumlev1"/>
      </w:pPr>
      <w:r>
        <w:lastRenderedPageBreak/>
        <w:sym w:font="Symbol" w:char="F0B7"/>
      </w:r>
      <w:r>
        <w:tab/>
      </w:r>
      <w:r w:rsidR="00702406" w:rsidRPr="00702406">
        <w:rPr>
          <w:rFonts w:hint="cs"/>
          <w:rtl/>
        </w:rPr>
        <w:t xml:space="preserve">عدم توفر آلية للتأكد من أنّ الإدارات المرخصة للمحطات </w:t>
      </w:r>
      <w:r w:rsidR="00702406" w:rsidRPr="00702406">
        <w:t>ESV</w:t>
      </w:r>
      <w:r w:rsidR="00702406" w:rsidRPr="00702406">
        <w:rPr>
          <w:rFonts w:hint="cs"/>
          <w:rtl/>
        </w:rPr>
        <w:t xml:space="preserve"> ستضمن الامتثال لمسافات الحماية الدنيا.</w:t>
      </w:r>
    </w:p>
    <w:p w:rsidR="00702406" w:rsidRPr="00702406" w:rsidRDefault="00716E08" w:rsidP="001F0600">
      <w:pPr>
        <w:pStyle w:val="enumlev1"/>
        <w:rPr>
          <w:rtl/>
        </w:rPr>
      </w:pPr>
      <w:r>
        <w:sym w:font="Symbol" w:char="F0B7"/>
      </w:r>
      <w:r>
        <w:tab/>
      </w:r>
      <w:r w:rsidR="00702406" w:rsidRPr="00702406">
        <w:rPr>
          <w:rFonts w:hint="cs"/>
          <w:rtl/>
        </w:rPr>
        <w:t>لا</w:t>
      </w:r>
      <w:r w:rsidR="001F0600">
        <w:rPr>
          <w:rFonts w:hint="eastAsia"/>
          <w:rtl/>
        </w:rPr>
        <w:t> </w:t>
      </w:r>
      <w:r w:rsidR="00702406" w:rsidRPr="00702406">
        <w:rPr>
          <w:rFonts w:hint="cs"/>
          <w:rtl/>
        </w:rPr>
        <w:t xml:space="preserve">توجد طريقة بشأن كيفية تأكد الإدارات المرخصة للمحطات </w:t>
      </w:r>
      <w:r w:rsidR="00702406" w:rsidRPr="00702406">
        <w:t>EVS</w:t>
      </w:r>
      <w:r w:rsidR="00702406" w:rsidRPr="00702406">
        <w:rPr>
          <w:rFonts w:hint="cs"/>
          <w:rtl/>
        </w:rPr>
        <w:t xml:space="preserve"> ومورّدي الخدمات من الالتزام بالأحكام التشغيلية والقيود التقنية الواردة في القرار، وفي حالة عدم الالتزام، ماذا سيحدث؟ وبالنسبة للمحطات الأرضية غير</w:t>
      </w:r>
      <w:r w:rsidR="00126646">
        <w:rPr>
          <w:rFonts w:hint="eastAsia"/>
          <w:rtl/>
        </w:rPr>
        <w:t> </w:t>
      </w:r>
      <w:r w:rsidR="00702406" w:rsidRPr="00702406">
        <w:rPr>
          <w:rFonts w:hint="cs"/>
          <w:rtl/>
        </w:rPr>
        <w:t>المبلغ عنها، لا توجد آلية لاتخاذ أي إجراء من جانب المكتب أو من جانب الإدارة الساحلية للتحقق مما</w:t>
      </w:r>
      <w:r w:rsidR="00126646">
        <w:rPr>
          <w:rFonts w:hint="eastAsia"/>
          <w:rtl/>
        </w:rPr>
        <w:t> </w:t>
      </w:r>
      <w:r w:rsidR="00702406" w:rsidRPr="00702406">
        <w:rPr>
          <w:rFonts w:hint="cs"/>
          <w:rtl/>
        </w:rPr>
        <w:t>إذا</w:t>
      </w:r>
      <w:r w:rsidR="00126646">
        <w:rPr>
          <w:rFonts w:hint="eastAsia"/>
          <w:rtl/>
        </w:rPr>
        <w:t> </w:t>
      </w:r>
      <w:r w:rsidR="00702406" w:rsidRPr="00702406">
        <w:rPr>
          <w:rFonts w:hint="cs"/>
          <w:rtl/>
        </w:rPr>
        <w:t>كان قد تم الامتثال للأحكام التشغيلية والقيود التقنية الواردة بالقرار.</w:t>
      </w:r>
    </w:p>
    <w:p w:rsidR="00702406" w:rsidRPr="00702406" w:rsidRDefault="00716E08" w:rsidP="00F25E29">
      <w:pPr>
        <w:pStyle w:val="enumlev1"/>
        <w:rPr>
          <w:rtl/>
        </w:rPr>
      </w:pPr>
      <w:r>
        <w:sym w:font="Symbol" w:char="F0B7"/>
      </w:r>
      <w:r>
        <w:tab/>
      </w:r>
      <w:r w:rsidR="00702406" w:rsidRPr="00702406">
        <w:rPr>
          <w:rFonts w:hint="cs"/>
          <w:rtl/>
        </w:rPr>
        <w:t xml:space="preserve">أن أي مرونة في تطبيق أحكام القرار </w:t>
      </w:r>
      <w:r w:rsidR="00702406" w:rsidRPr="002A3718">
        <w:t>902 (WRC</w:t>
      </w:r>
      <w:r w:rsidR="00702406" w:rsidRPr="002A3718">
        <w:noBreakHyphen/>
        <w:t>03)</w:t>
      </w:r>
      <w:r w:rsidR="00702406" w:rsidRPr="002A3718">
        <w:rPr>
          <w:rFonts w:hint="cs"/>
          <w:rtl/>
        </w:rPr>
        <w:t xml:space="preserve"> (مثل قد</w:t>
      </w:r>
      <w:r w:rsidR="00702406" w:rsidRPr="00702406">
        <w:rPr>
          <w:rFonts w:hint="cs"/>
          <w:rtl/>
        </w:rPr>
        <w:t xml:space="preserve">رة </w:t>
      </w:r>
      <w:r w:rsidR="00702406" w:rsidRPr="00702406">
        <w:t>e.i.r.p.</w:t>
      </w:r>
      <w:r w:rsidR="00702406" w:rsidRPr="00702406">
        <w:rPr>
          <w:rFonts w:hint="cs"/>
          <w:rtl/>
        </w:rPr>
        <w:t xml:space="preserve"> كدالة للمسافة من الساحل) سيجعل مهمة الإدارات صعبة للغاية وسيكون من الصعب التحقق من تطبيق اللوائح بشكل صحيح نظراً لأنه سيتعين على هذه الإدارات التحقق بصورة مستمرة وديناميكية من قدرة </w:t>
      </w:r>
      <w:r w:rsidR="00702406" w:rsidRPr="00702406">
        <w:t>e.i.r.p.</w:t>
      </w:r>
      <w:r w:rsidR="00702406" w:rsidRPr="00702406">
        <w:rPr>
          <w:rFonts w:hint="cs"/>
          <w:rtl/>
        </w:rPr>
        <w:t xml:space="preserve"> لكل محطة من المحطات </w:t>
      </w:r>
      <w:r w:rsidR="00702406" w:rsidRPr="00702406">
        <w:rPr>
          <w:rFonts w:hint="cs"/>
        </w:rPr>
        <w:t>ESV</w:t>
      </w:r>
      <w:r w:rsidR="00702406" w:rsidRPr="00702406">
        <w:rPr>
          <w:rFonts w:hint="cs"/>
          <w:rtl/>
        </w:rPr>
        <w:t xml:space="preserve"> العديدة لضمان الحماية السليمة للمحطات الأرضية. وسيفرض سير العمل هذا أعباءً إضافية على البلدان النامية، ولا</w:t>
      </w:r>
      <w:r w:rsidR="00F25E29">
        <w:rPr>
          <w:rFonts w:hint="eastAsia"/>
          <w:rtl/>
        </w:rPr>
        <w:t> </w:t>
      </w:r>
      <w:r w:rsidR="00702406" w:rsidRPr="00702406">
        <w:rPr>
          <w:rFonts w:hint="cs"/>
          <w:rtl/>
        </w:rPr>
        <w:t xml:space="preserve">سيما عند تجهيز تحليل تقرير التداخل أو عند الإشراف على توافق خصائص المحطات </w:t>
      </w:r>
      <w:r w:rsidR="00702406" w:rsidRPr="00702406">
        <w:t>ESV</w:t>
      </w:r>
      <w:r w:rsidR="00702406" w:rsidRPr="00702406">
        <w:rPr>
          <w:rFonts w:hint="cs"/>
          <w:rtl/>
        </w:rPr>
        <w:t xml:space="preserve"> والجوانب التشغيلية مع الإجراءات التنظيمية واجبة التطبيق. وجدير بالذكر أن الخدمات/المحطات الأرضية المذكورة أعلاه تمثل البنية التحتية الأساسية للاتصالات/تكنولوجيا المعلومات والاتصالات وبالتالي تحتاج إلى حماية كاملة.</w:t>
      </w:r>
    </w:p>
    <w:p w:rsidR="00702406" w:rsidRPr="00702406" w:rsidRDefault="00716E08" w:rsidP="00716E08">
      <w:pPr>
        <w:pStyle w:val="enumlev1"/>
        <w:rPr>
          <w:rtl/>
        </w:rPr>
      </w:pPr>
      <w:r>
        <w:sym w:font="Symbol" w:char="F0B7"/>
      </w:r>
      <w:r>
        <w:tab/>
      </w:r>
      <w:r w:rsidR="00702406" w:rsidRPr="00702406">
        <w:rPr>
          <w:rFonts w:hint="cs"/>
          <w:rtl/>
        </w:rPr>
        <w:t xml:space="preserve">وبالإضافة إلى الشواغل التي أعربت عنها بعض البلدان في عام </w:t>
      </w:r>
      <w:r w:rsidR="00702406" w:rsidRPr="00702406">
        <w:t>2003</w:t>
      </w:r>
      <w:r w:rsidR="00702406" w:rsidRPr="00702406">
        <w:rPr>
          <w:rFonts w:hint="cs"/>
          <w:rtl/>
        </w:rPr>
        <w:t xml:space="preserve"> إزاء مدى ملائمة السماح بتطبيق وصلات المحطات</w:t>
      </w:r>
      <w:r w:rsidR="00702406" w:rsidRPr="00702406">
        <w:rPr>
          <w:rFonts w:hint="eastAsia"/>
          <w:rtl/>
        </w:rPr>
        <w:t> </w:t>
      </w:r>
      <w:r w:rsidR="00702406" w:rsidRPr="00702406">
        <w:t>ESV</w:t>
      </w:r>
      <w:r w:rsidR="00702406" w:rsidRPr="00702406">
        <w:rPr>
          <w:rFonts w:hint="cs"/>
          <w:rtl/>
        </w:rPr>
        <w:t xml:space="preserve"> في نطاقات التردد للخدمة الثابتة الساتلية، فإن مثل هذا التخفيف في اللوائح الحالية يمكن أن يؤثر سلبياً على توافر وصلات الخدمة الثابتة ويوفر قيم جديدة أكبر لمسافات الفصل لضمان حماية محطات الخدمة الثابتة الساحلية، بالنظر إلى زيادة عدد مرات عبور السفن نتيجة انخفاض حجم الهوائي.</w:t>
      </w:r>
    </w:p>
    <w:p w:rsidR="00126646" w:rsidRPr="00126646" w:rsidRDefault="00126646" w:rsidP="00126646">
      <w:pPr>
        <w:pStyle w:val="Headingb"/>
        <w:rPr>
          <w:rtl/>
        </w:rPr>
      </w:pPr>
      <w:r w:rsidRPr="00126646">
        <w:rPr>
          <w:rFonts w:hint="cs"/>
          <w:rtl/>
        </w:rPr>
        <w:t>المقترحات</w:t>
      </w:r>
    </w:p>
    <w:p w:rsidR="00126646" w:rsidRPr="00126646" w:rsidRDefault="00126646" w:rsidP="0043705A">
      <w:pPr>
        <w:rPr>
          <w:rtl/>
          <w:lang w:bidi="ar-OM"/>
        </w:rPr>
      </w:pPr>
      <w:r w:rsidRPr="00126646">
        <w:rPr>
          <w:rFonts w:hint="cs"/>
          <w:rtl/>
        </w:rPr>
        <w:t>وبناء</w:t>
      </w:r>
      <w:r w:rsidR="00F25E29">
        <w:rPr>
          <w:rFonts w:hint="cs"/>
          <w:rtl/>
        </w:rPr>
        <w:t>ً</w:t>
      </w:r>
      <w:r w:rsidRPr="00126646">
        <w:rPr>
          <w:rFonts w:hint="cs"/>
          <w:rtl/>
        </w:rPr>
        <w:t xml:space="preserve"> على نتائج دراسات قطاع ال</w:t>
      </w:r>
      <w:r w:rsidR="0043705A">
        <w:rPr>
          <w:rFonts w:hint="cs"/>
          <w:rtl/>
        </w:rPr>
        <w:t>ا</w:t>
      </w:r>
      <w:r w:rsidRPr="00126646">
        <w:rPr>
          <w:rFonts w:hint="cs"/>
          <w:rtl/>
        </w:rPr>
        <w:t>تصالات الراديوية فإن إدارات الدول العربية</w:t>
      </w:r>
      <w:r w:rsidRPr="00126646">
        <w:rPr>
          <w:rtl/>
        </w:rPr>
        <w:t xml:space="preserve"> </w:t>
      </w:r>
      <w:r w:rsidRPr="00126646">
        <w:rPr>
          <w:rFonts w:hint="cs"/>
          <w:rtl/>
        </w:rPr>
        <w:t>تقترح عدم التعديل على لوائح الراديو مع حذف القرار</w:t>
      </w:r>
      <w:r w:rsidR="00FE6A46">
        <w:rPr>
          <w:rFonts w:hint="eastAsia"/>
          <w:rtl/>
        </w:rPr>
        <w:t> </w:t>
      </w:r>
      <w:r w:rsidRPr="00126646">
        <w:t>909</w:t>
      </w:r>
      <w:r>
        <w:t> </w:t>
      </w:r>
      <w:r w:rsidRPr="00126646">
        <w:t>(WRC-12)</w:t>
      </w:r>
      <w:r w:rsidRPr="00126646">
        <w:rPr>
          <w:rFonts w:hint="cs"/>
          <w:rtl/>
          <w:lang w:bidi="ar-OM"/>
        </w:rPr>
        <w:t>، وفق المقترحات التالية:</w:t>
      </w:r>
    </w:p>
    <w:p w:rsidR="00702406" w:rsidRPr="00702406" w:rsidRDefault="00702406" w:rsidP="00702406">
      <w:pPr>
        <w:rPr>
          <w:rtl/>
          <w:lang w:bidi="ar-OM"/>
        </w:rPr>
      </w:pPr>
    </w:p>
    <w:p w:rsidR="00F16602" w:rsidRDefault="00F16602" w:rsidP="005D6D48"/>
    <w:p w:rsidR="002919E1" w:rsidRPr="002919E1" w:rsidRDefault="008F4626" w:rsidP="00531DC7">
      <w:pPr>
        <w:rPr>
          <w:noProof/>
          <w:rtl/>
        </w:rPr>
      </w:pPr>
      <w:r w:rsidRPr="002919E1">
        <w:rPr>
          <w:rtl/>
        </w:rPr>
        <w:br w:type="page"/>
      </w:r>
    </w:p>
    <w:p w:rsidR="00461422" w:rsidRDefault="00E104CF">
      <w:pPr>
        <w:pStyle w:val="Proposal"/>
      </w:pPr>
      <w:r>
        <w:lastRenderedPageBreak/>
        <w:t>SUP</w:t>
      </w:r>
      <w:r>
        <w:tab/>
        <w:t>ARB/25A8/1</w:t>
      </w:r>
    </w:p>
    <w:p w:rsidR="0090043D" w:rsidRPr="003175A3" w:rsidRDefault="00E104CF" w:rsidP="0090043D">
      <w:pPr>
        <w:pStyle w:val="ResNo"/>
        <w:rPr>
          <w:b/>
          <w:bCs/>
          <w:rtl/>
        </w:rPr>
      </w:pPr>
      <w:bookmarkStart w:id="2" w:name="_Toc327956809"/>
      <w:r w:rsidRPr="003175A3">
        <w:rPr>
          <w:rtl/>
        </w:rPr>
        <w:t xml:space="preserve">القـرار </w:t>
      </w:r>
      <w:r w:rsidRPr="0090043D">
        <w:t>909</w:t>
      </w:r>
      <w:r>
        <w:t> </w:t>
      </w:r>
      <w:r w:rsidRPr="003175A3">
        <w:t>(WRC-12)</w:t>
      </w:r>
      <w:bookmarkEnd w:id="2"/>
    </w:p>
    <w:p w:rsidR="0090043D" w:rsidRDefault="00E104CF" w:rsidP="0090043D">
      <w:pPr>
        <w:pStyle w:val="Restitle"/>
      </w:pPr>
      <w:bookmarkStart w:id="3" w:name="_Toc327956810"/>
      <w:r>
        <w:rPr>
          <w:rFonts w:hint="cs"/>
          <w:rtl/>
        </w:rPr>
        <w:t xml:space="preserve">أحكام متعلقة بالمحطات الأرضية المقامة على متن السفن </w:t>
      </w:r>
      <w:r>
        <w:rPr>
          <w:rtl/>
        </w:rPr>
        <w:br/>
      </w:r>
      <w:r>
        <w:rPr>
          <w:rFonts w:hint="cs"/>
          <w:rtl/>
        </w:rPr>
        <w:t xml:space="preserve">المشغلة في شبكات الخدمة الثابتة الساتلية في نطاقي </w:t>
      </w:r>
      <w:r>
        <w:rPr>
          <w:rtl/>
        </w:rPr>
        <w:br/>
      </w:r>
      <w:r>
        <w:rPr>
          <w:rFonts w:hint="cs"/>
          <w:rtl/>
        </w:rPr>
        <w:t>الوصلة</w:t>
      </w:r>
      <w:r>
        <w:rPr>
          <w:rFonts w:hint="eastAsia"/>
          <w:rtl/>
        </w:rPr>
        <w:t> </w:t>
      </w:r>
      <w:r>
        <w:rPr>
          <w:rFonts w:hint="cs"/>
          <w:rtl/>
        </w:rPr>
        <w:t>الصاعدة</w:t>
      </w:r>
      <w:r>
        <w:rPr>
          <w:rFonts w:hint="eastAsia"/>
          <w:rtl/>
        </w:rPr>
        <w:t> </w:t>
      </w:r>
      <w:r>
        <w:t>MHz 6 425</w:t>
      </w:r>
      <w:r>
        <w:sym w:font="Symbol" w:char="F02D"/>
      </w:r>
      <w:r>
        <w:t>5 925</w:t>
      </w:r>
      <w:r>
        <w:rPr>
          <w:rFonts w:hint="cs"/>
          <w:rtl/>
        </w:rPr>
        <w:t xml:space="preserve"> و</w:t>
      </w:r>
      <w:r>
        <w:t>GHz 14,5</w:t>
      </w:r>
      <w:r>
        <w:sym w:font="Symbol" w:char="F02D"/>
      </w:r>
      <w:r>
        <w:t>14</w:t>
      </w:r>
      <w:bookmarkEnd w:id="3"/>
      <w:r>
        <w:rPr>
          <w:rFonts w:hint="cs"/>
          <w:rtl/>
        </w:rPr>
        <w:t xml:space="preserve"> </w:t>
      </w:r>
    </w:p>
    <w:p w:rsidR="00461422" w:rsidRDefault="00E104CF" w:rsidP="00F25E29">
      <w:pPr>
        <w:pStyle w:val="Reasons"/>
        <w:rPr>
          <w:b w:val="0"/>
          <w:bCs w:val="0"/>
          <w:rtl/>
        </w:rPr>
      </w:pPr>
      <w:r>
        <w:rPr>
          <w:rtl/>
        </w:rPr>
        <w:t>الأسباب:</w:t>
      </w:r>
      <w:r>
        <w:tab/>
      </w:r>
      <w:r w:rsidR="005C1E46" w:rsidRPr="005C1E46">
        <w:rPr>
          <w:rFonts w:hint="cs"/>
          <w:b w:val="0"/>
          <w:bCs w:val="0"/>
          <w:rtl/>
          <w:lang w:bidi="ar"/>
        </w:rPr>
        <w:t xml:space="preserve">أي تخفيض في مقاس الهوائي وأي تقصير للمسافة بين السفن والشاطئ سيؤثر سلباً في الواقع على نشر خدمات الأرض للبلدان التي تشكل فيها هذه الخدمات البنية التحتية الأساسية لخدمات الاتصالات وبالتالي سيتم </w:t>
      </w:r>
      <w:r w:rsidR="005C1E46" w:rsidRPr="005C1E46">
        <w:rPr>
          <w:b w:val="0"/>
          <w:bCs w:val="0"/>
          <w:rtl/>
          <w:lang w:bidi="ar"/>
        </w:rPr>
        <w:t>الإبقاء على الحدود كما</w:t>
      </w:r>
      <w:r w:rsidR="00F25E29">
        <w:rPr>
          <w:rFonts w:hint="cs"/>
          <w:b w:val="0"/>
          <w:bCs w:val="0"/>
          <w:rtl/>
          <w:lang w:bidi="ar"/>
        </w:rPr>
        <w:t> </w:t>
      </w:r>
      <w:r w:rsidR="005C1E46" w:rsidRPr="005C1E46">
        <w:rPr>
          <w:b w:val="0"/>
          <w:bCs w:val="0"/>
          <w:rtl/>
          <w:lang w:bidi="ar"/>
        </w:rPr>
        <w:t>هي محددة حالياً في القرار (</w:t>
      </w:r>
      <w:r w:rsidR="005C1E46" w:rsidRPr="005C1E46">
        <w:rPr>
          <w:b w:val="0"/>
          <w:bCs w:val="0"/>
        </w:rPr>
        <w:t>WRC-03</w:t>
      </w:r>
      <w:r w:rsidR="005C1E46" w:rsidRPr="005C1E46">
        <w:rPr>
          <w:b w:val="0"/>
          <w:bCs w:val="0"/>
          <w:rtl/>
          <w:lang w:bidi="ar"/>
        </w:rPr>
        <w:t>)</w:t>
      </w:r>
      <w:r w:rsidR="005C1E46" w:rsidRPr="005C1E46">
        <w:rPr>
          <w:b w:val="0"/>
          <w:bCs w:val="0"/>
          <w:lang w:bidi="ar"/>
        </w:rPr>
        <w:t>902</w:t>
      </w:r>
      <w:r w:rsidR="005C1E46">
        <w:rPr>
          <w:b w:val="0"/>
          <w:bCs w:val="0"/>
          <w:lang w:bidi="ar"/>
        </w:rPr>
        <w:t> </w:t>
      </w:r>
      <w:r w:rsidR="005C1E46" w:rsidRPr="005C1E46">
        <w:rPr>
          <w:b w:val="0"/>
          <w:bCs w:val="0"/>
          <w:rtl/>
          <w:lang w:bidi="ar"/>
        </w:rPr>
        <w:t xml:space="preserve"> لتشغيل المحطات الأرضية المقامة على متن السفن </w:t>
      </w:r>
      <w:r w:rsidR="00212B49">
        <w:rPr>
          <w:b w:val="0"/>
          <w:bCs w:val="0"/>
          <w:lang w:bidi="ar"/>
        </w:rPr>
        <w:t>(</w:t>
      </w:r>
      <w:r w:rsidR="00212B49" w:rsidRPr="005C1E46">
        <w:rPr>
          <w:b w:val="0"/>
          <w:bCs w:val="0"/>
        </w:rPr>
        <w:t>ESV</w:t>
      </w:r>
      <w:r w:rsidR="00212B49">
        <w:rPr>
          <w:b w:val="0"/>
          <w:bCs w:val="0"/>
          <w:lang w:bidi="ar"/>
        </w:rPr>
        <w:t>)</w:t>
      </w:r>
      <w:r w:rsidR="005C1E46" w:rsidRPr="005C1E46">
        <w:rPr>
          <w:rFonts w:hint="cs"/>
          <w:b w:val="0"/>
          <w:bCs w:val="0"/>
          <w:rtl/>
          <w:lang w:bidi="ar"/>
        </w:rPr>
        <w:t xml:space="preserve"> بالإضافة إلى حذف القرار</w:t>
      </w:r>
      <w:r w:rsidR="00023BC1">
        <w:rPr>
          <w:rFonts w:hint="eastAsia"/>
          <w:b w:val="0"/>
          <w:bCs w:val="0"/>
          <w:rtl/>
          <w:lang w:bidi="ar"/>
        </w:rPr>
        <w:t> </w:t>
      </w:r>
      <w:r w:rsidR="005C1E46" w:rsidRPr="005C1E46">
        <w:rPr>
          <w:b w:val="0"/>
          <w:bCs w:val="0"/>
        </w:rPr>
        <w:t>909 (WRC</w:t>
      </w:r>
      <w:r w:rsidR="005C1E46" w:rsidRPr="005C1E46">
        <w:rPr>
          <w:b w:val="0"/>
          <w:bCs w:val="0"/>
        </w:rPr>
        <w:noBreakHyphen/>
        <w:t>12)</w:t>
      </w:r>
      <w:r w:rsidR="00F25E29">
        <w:rPr>
          <w:rFonts w:hint="cs"/>
          <w:b w:val="0"/>
          <w:bCs w:val="0"/>
          <w:rtl/>
        </w:rPr>
        <w:t xml:space="preserve"> لعدم وجود </w:t>
      </w:r>
      <w:r w:rsidR="005C1E46" w:rsidRPr="005C1E46">
        <w:rPr>
          <w:rFonts w:hint="cs"/>
          <w:b w:val="0"/>
          <w:bCs w:val="0"/>
          <w:rtl/>
        </w:rPr>
        <w:t>حاجة إليه</w:t>
      </w:r>
      <w:r w:rsidR="00A349F0">
        <w:rPr>
          <w:rFonts w:hint="cs"/>
          <w:b w:val="0"/>
          <w:bCs w:val="0"/>
          <w:rtl/>
        </w:rPr>
        <w:t>.</w:t>
      </w:r>
    </w:p>
    <w:p w:rsidR="00A349F0" w:rsidRPr="00A349F0" w:rsidRDefault="00A349F0" w:rsidP="00A349F0">
      <w:pPr>
        <w:spacing w:before="600"/>
        <w:jc w:val="center"/>
      </w:pPr>
      <w:r>
        <w:rPr>
          <w:rFonts w:hint="cs"/>
          <w:rtl/>
        </w:rPr>
        <w:t>___________</w:t>
      </w:r>
    </w:p>
    <w:sectPr w:rsidR="00A349F0" w:rsidRPr="00A349F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349F0">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104CF">
      <w:rPr>
        <w:noProof/>
        <w:lang w:val="es-ES"/>
      </w:rPr>
      <w:t>P:\ARA\ITU-R\CONF-R\CMR15\000\025ADD18A.docx</w:t>
    </w:r>
    <w:r w:rsidRPr="00CB4300">
      <w:fldChar w:fldCharType="end"/>
    </w:r>
    <w:r w:rsidRPr="00CB4300">
      <w:rPr>
        <w:lang w:val="es-ES"/>
      </w:rPr>
      <w:t xml:space="preserve">  (</w:t>
    </w:r>
    <w:r w:rsidR="00A349F0">
      <w:rPr>
        <w:rFonts w:hint="cs"/>
        <w:rtl/>
        <w:lang w:val="es-ES"/>
      </w:rPr>
      <w:t>386858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F32B10">
      <w:rPr>
        <w:noProof/>
      </w:rPr>
      <w:t>25.09.15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104CF">
      <w:rPr>
        <w:noProof/>
      </w:rPr>
      <w:t>25.09.15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26646">
    <w:pPr>
      <w:pStyle w:val="Footer"/>
      <w:rPr>
        <w:lang w:val="es-ES"/>
      </w:rPr>
    </w:pPr>
    <w:r>
      <w:fldChar w:fldCharType="begin"/>
    </w:r>
    <w:r w:rsidRPr="00CB4300">
      <w:rPr>
        <w:lang w:val="es-ES"/>
      </w:rPr>
      <w:instrText xml:space="preserve"> FILENAME \p \* MERGEFORMAT </w:instrText>
    </w:r>
    <w:r>
      <w:fldChar w:fldCharType="separate"/>
    </w:r>
    <w:r w:rsidR="00E104CF">
      <w:rPr>
        <w:noProof/>
        <w:lang w:val="es-ES"/>
      </w:rPr>
      <w:t>P:\ARA\ITU-R\CONF-R\CMR15\000\025ADD18A.docx</w:t>
    </w:r>
    <w:r>
      <w:fldChar w:fldCharType="end"/>
    </w:r>
    <w:r w:rsidRPr="00CB4300">
      <w:rPr>
        <w:lang w:val="es-ES"/>
      </w:rPr>
      <w:t xml:space="preserve">   (</w:t>
    </w:r>
    <w:r w:rsidR="00126646">
      <w:rPr>
        <w:lang w:val="es-ES"/>
      </w:rPr>
      <w:t>386858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32B10">
      <w:rPr>
        <w:noProof/>
      </w:rPr>
      <w:t>25.09.15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104CF">
      <w:rPr>
        <w:noProof/>
      </w:rPr>
      <w:t>25.09.15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42A7A">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86B7C6F"/>
    <w:multiLevelType w:val="hybridMultilevel"/>
    <w:tmpl w:val="594E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4BF1"/>
    <w:rsid w:val="00011021"/>
    <w:rsid w:val="000114EC"/>
    <w:rsid w:val="00011F8C"/>
    <w:rsid w:val="00023BC1"/>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26646"/>
    <w:rsid w:val="001464F2"/>
    <w:rsid w:val="001629EC"/>
    <w:rsid w:val="00167364"/>
    <w:rsid w:val="001903B2"/>
    <w:rsid w:val="001A2DF0"/>
    <w:rsid w:val="001C1F84"/>
    <w:rsid w:val="001E190C"/>
    <w:rsid w:val="001E54F6"/>
    <w:rsid w:val="001E5A8C"/>
    <w:rsid w:val="001F0600"/>
    <w:rsid w:val="00201A0A"/>
    <w:rsid w:val="002075D4"/>
    <w:rsid w:val="00211B2A"/>
    <w:rsid w:val="00212B49"/>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3718"/>
    <w:rsid w:val="002A4572"/>
    <w:rsid w:val="002A7E2E"/>
    <w:rsid w:val="002B16D8"/>
    <w:rsid w:val="002D0002"/>
    <w:rsid w:val="002D5F64"/>
    <w:rsid w:val="002D6FBF"/>
    <w:rsid w:val="002E48BF"/>
    <w:rsid w:val="002E61C2"/>
    <w:rsid w:val="0033737F"/>
    <w:rsid w:val="00353652"/>
    <w:rsid w:val="003569E1"/>
    <w:rsid w:val="003815E2"/>
    <w:rsid w:val="00381FAD"/>
    <w:rsid w:val="00382A66"/>
    <w:rsid w:val="003923B1"/>
    <w:rsid w:val="00393992"/>
    <w:rsid w:val="003965FE"/>
    <w:rsid w:val="003A6AB4"/>
    <w:rsid w:val="003B27AD"/>
    <w:rsid w:val="003B4F23"/>
    <w:rsid w:val="003C12F6"/>
    <w:rsid w:val="003C3A13"/>
    <w:rsid w:val="003E02EF"/>
    <w:rsid w:val="003E1608"/>
    <w:rsid w:val="003E1D90"/>
    <w:rsid w:val="00400CD4"/>
    <w:rsid w:val="004147B9"/>
    <w:rsid w:val="00422C04"/>
    <w:rsid w:val="00426144"/>
    <w:rsid w:val="0043705A"/>
    <w:rsid w:val="00442A7A"/>
    <w:rsid w:val="004612E1"/>
    <w:rsid w:val="00461422"/>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1E46"/>
    <w:rsid w:val="005C29C8"/>
    <w:rsid w:val="005C5D25"/>
    <w:rsid w:val="005D6D48"/>
    <w:rsid w:val="005D72A4"/>
    <w:rsid w:val="005F05CC"/>
    <w:rsid w:val="005F65DE"/>
    <w:rsid w:val="00601505"/>
    <w:rsid w:val="00613492"/>
    <w:rsid w:val="006315B5"/>
    <w:rsid w:val="00651343"/>
    <w:rsid w:val="0065562F"/>
    <w:rsid w:val="00677401"/>
    <w:rsid w:val="00680A66"/>
    <w:rsid w:val="00681391"/>
    <w:rsid w:val="006A12AC"/>
    <w:rsid w:val="006A2162"/>
    <w:rsid w:val="006B0D94"/>
    <w:rsid w:val="006B4B90"/>
    <w:rsid w:val="006B658C"/>
    <w:rsid w:val="006D2674"/>
    <w:rsid w:val="006E38D0"/>
    <w:rsid w:val="006E465B"/>
    <w:rsid w:val="006F70BF"/>
    <w:rsid w:val="00702406"/>
    <w:rsid w:val="00713D27"/>
    <w:rsid w:val="00716B1D"/>
    <w:rsid w:val="00716E08"/>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679C8"/>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C2906"/>
    <w:rsid w:val="009D6348"/>
    <w:rsid w:val="009E613F"/>
    <w:rsid w:val="009F042B"/>
    <w:rsid w:val="009F7BA0"/>
    <w:rsid w:val="00A03FD6"/>
    <w:rsid w:val="00A116A8"/>
    <w:rsid w:val="00A22AE9"/>
    <w:rsid w:val="00A26758"/>
    <w:rsid w:val="00A26D0E"/>
    <w:rsid w:val="00A278E9"/>
    <w:rsid w:val="00A3451F"/>
    <w:rsid w:val="00A349F0"/>
    <w:rsid w:val="00A36268"/>
    <w:rsid w:val="00A40B2C"/>
    <w:rsid w:val="00A66D2B"/>
    <w:rsid w:val="00A77528"/>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4CF"/>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5E29"/>
    <w:rsid w:val="00F2685F"/>
    <w:rsid w:val="00F32B10"/>
    <w:rsid w:val="00F350C8"/>
    <w:rsid w:val="00F45416"/>
    <w:rsid w:val="00F8654D"/>
    <w:rsid w:val="00F900C9"/>
    <w:rsid w:val="00F92C96"/>
    <w:rsid w:val="00FA0D4E"/>
    <w:rsid w:val="00FB0753"/>
    <w:rsid w:val="00FB5CC8"/>
    <w:rsid w:val="00FC2CD0"/>
    <w:rsid w:val="00FD0594"/>
    <w:rsid w:val="00FE6A4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358F69-9609-4179-9362-C706D0DE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R15-WRC15-C-0025!A8!MSW-A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F5BBC858-BC8F-4C40-A602-CE5608914CF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B06ABB6F-4320-4832-9878-D7834AAA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629</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R15-WRC15-C-0025!A8!MSW-A</dc:title>
  <dc:creator>Documents Proposals Manager (DPM)</dc:creator>
  <cp:keywords>DPM_v5.2015.9.16_prod</cp:keywords>
  <cp:lastModifiedBy>Awad, Samy</cp:lastModifiedBy>
  <cp:revision>13</cp:revision>
  <cp:lastPrinted>2015-09-25T15:12:00Z</cp:lastPrinted>
  <dcterms:created xsi:type="dcterms:W3CDTF">2015-09-25T15:14:00Z</dcterms:created>
  <dcterms:modified xsi:type="dcterms:W3CDTF">2015-09-28T12:59:00Z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