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CD313B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CD313B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CD31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CD313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CD313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CD313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CD313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CD313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25(Add.9)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CD313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CD313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10 September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CD313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CD31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Arabic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CD313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CD313B">
            <w:pPr>
              <w:pStyle w:val="Source"/>
            </w:pPr>
            <w:r>
              <w:t>Arab States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CD313B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CD313B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CD313B">
            <w:pPr>
              <w:pStyle w:val="Agendaitem"/>
            </w:pPr>
            <w:r>
              <w:t>Agenda item 1.9.1</w:t>
            </w:r>
          </w:p>
        </w:tc>
      </w:tr>
    </w:tbl>
    <w:bookmarkEnd w:id="6"/>
    <w:bookmarkEnd w:id="7"/>
    <w:p w:rsidR="00ED71D1" w:rsidRPr="009A2B70" w:rsidRDefault="00BA359F" w:rsidP="00CD313B">
      <w:pPr>
        <w:overflowPunct/>
        <w:autoSpaceDE/>
        <w:autoSpaceDN/>
        <w:adjustRightInd/>
        <w:textAlignment w:val="auto"/>
      </w:pPr>
      <w:r w:rsidRPr="009A2B70">
        <w:t>1.9</w:t>
      </w:r>
      <w:r w:rsidRPr="009A2B70">
        <w:tab/>
        <w:t xml:space="preserve">to consider, in accordance with Resolution </w:t>
      </w:r>
      <w:r w:rsidRPr="009A2B70">
        <w:rPr>
          <w:b/>
        </w:rPr>
        <w:t>758 (WRC</w:t>
      </w:r>
      <w:r w:rsidRPr="009A2B70">
        <w:rPr>
          <w:b/>
        </w:rPr>
        <w:noBreakHyphen/>
        <w:t>12)</w:t>
      </w:r>
      <w:r w:rsidRPr="009A2B70">
        <w:t>:</w:t>
      </w:r>
    </w:p>
    <w:p w:rsidR="00ED71D1" w:rsidRDefault="00BA359F" w:rsidP="00CD313B">
      <w:pPr>
        <w:overflowPunct/>
        <w:autoSpaceDE/>
        <w:autoSpaceDN/>
        <w:adjustRightInd/>
        <w:spacing w:before="100"/>
        <w:textAlignment w:val="auto"/>
      </w:pPr>
      <w:r w:rsidRPr="009A2B70">
        <w:t>1.9.1</w:t>
      </w:r>
      <w:r w:rsidRPr="009A2B70">
        <w:tab/>
        <w:t>possible new allocations to the fixed-satellite service in the frequency bands 7 150-7 250 MHz (space-to-Earth) and 8 400-8 500 MHz (Earth-to-space), subject to appropriate sharing conditions;</w:t>
      </w:r>
    </w:p>
    <w:p w:rsidR="00CD313B" w:rsidRPr="009A2B70" w:rsidRDefault="00CD313B" w:rsidP="00CD313B">
      <w:pPr>
        <w:overflowPunct/>
        <w:autoSpaceDE/>
        <w:autoSpaceDN/>
        <w:adjustRightInd/>
        <w:spacing w:before="0"/>
        <w:textAlignment w:val="auto"/>
      </w:pPr>
    </w:p>
    <w:p w:rsidR="00241FA2" w:rsidRDefault="007C5FCB" w:rsidP="00CD313B">
      <w:pPr>
        <w:pStyle w:val="Headingb"/>
        <w:rPr>
          <w:lang w:val="en-US"/>
        </w:rPr>
      </w:pPr>
      <w:r w:rsidRPr="007C5FCB">
        <w:rPr>
          <w:lang w:val="en-US"/>
        </w:rPr>
        <w:t>I</w:t>
      </w:r>
      <w:r>
        <w:rPr>
          <w:lang w:val="en-US"/>
        </w:rPr>
        <w:t>ntroduction</w:t>
      </w:r>
    </w:p>
    <w:p w:rsidR="007C5FCB" w:rsidRDefault="001C735F" w:rsidP="00CD313B">
      <w:pPr>
        <w:rPr>
          <w:color w:val="000000"/>
        </w:rPr>
      </w:pPr>
      <w:r>
        <w:rPr>
          <w:lang w:val="en-US"/>
        </w:rPr>
        <w:t xml:space="preserve">Resolution </w:t>
      </w:r>
      <w:r w:rsidRPr="00623533">
        <w:rPr>
          <w:lang w:val="en-US"/>
        </w:rPr>
        <w:t>758 (WRC</w:t>
      </w:r>
      <w:r w:rsidRPr="00623533">
        <w:rPr>
          <w:lang w:val="en-US"/>
        </w:rPr>
        <w:noBreakHyphen/>
        <w:t xml:space="preserve">12) </w:t>
      </w:r>
      <w:r w:rsidR="00C63C04" w:rsidRPr="00CD313B">
        <w:rPr>
          <w:iCs/>
          <w:lang w:val="en-US"/>
        </w:rPr>
        <w:t>invites ITU-R</w:t>
      </w:r>
      <w:r>
        <w:rPr>
          <w:lang w:val="en-US"/>
        </w:rPr>
        <w:t xml:space="preserve"> </w:t>
      </w:r>
      <w:r>
        <w:rPr>
          <w:color w:val="000000"/>
          <w:lang w:val="en-US"/>
        </w:rPr>
        <w:t>t</w:t>
      </w:r>
      <w:r>
        <w:rPr>
          <w:color w:val="000000"/>
        </w:rPr>
        <w:t>o conduct technical and regulatory studies on the possible new allocations to the FSS in the frequency bands 7 150-7 250 MHz (space-to-Earth) and 8 400-8 500 MHz (Earth-to-space) in order to ensure compatibility with existing services, with a view to extending the current worldwide allocation to the FSS in the bands 7 250-7 750 MHz (space-to-Earth) and 7 900-8 400 MHz (Earth-to-space).</w:t>
      </w:r>
    </w:p>
    <w:p w:rsidR="00D166B9" w:rsidRDefault="00D166B9" w:rsidP="00CD313B">
      <w:pPr>
        <w:rPr>
          <w:color w:val="000000"/>
        </w:rPr>
      </w:pPr>
      <w:r>
        <w:rPr>
          <w:color w:val="000000"/>
        </w:rPr>
        <w:t xml:space="preserve">The frequency bands 7 150-7 250 MHz and 8 400-8 500 MHz are used intensively for terrestrial services, specifically </w:t>
      </w:r>
      <w:r w:rsidR="0021164C">
        <w:rPr>
          <w:color w:val="000000"/>
        </w:rPr>
        <w:t>fixed service (</w:t>
      </w:r>
      <w:r>
        <w:rPr>
          <w:color w:val="000000"/>
        </w:rPr>
        <w:t>FS</w:t>
      </w:r>
      <w:r w:rsidR="0021164C">
        <w:rPr>
          <w:color w:val="000000"/>
        </w:rPr>
        <w:t>)</w:t>
      </w:r>
      <w:r>
        <w:rPr>
          <w:color w:val="000000"/>
        </w:rPr>
        <w:t xml:space="preserve"> systems, which represent the essential infrastructure in developing countries for the provision of basic cellular network</w:t>
      </w:r>
      <w:r w:rsidR="00623533">
        <w:rPr>
          <w:color w:val="000000"/>
        </w:rPr>
        <w:t xml:space="preserve"> telecommunication</w:t>
      </w:r>
      <w:r>
        <w:rPr>
          <w:color w:val="000000"/>
        </w:rPr>
        <w:t>s.</w:t>
      </w:r>
    </w:p>
    <w:p w:rsidR="001C735F" w:rsidRDefault="0021164C" w:rsidP="00623533">
      <w:pPr>
        <w:rPr>
          <w:color w:val="000000"/>
        </w:rPr>
      </w:pPr>
      <w:r>
        <w:rPr>
          <w:color w:val="000000"/>
        </w:rPr>
        <w:t>The results of</w:t>
      </w:r>
      <w:r w:rsidR="00D166B9">
        <w:rPr>
          <w:color w:val="000000"/>
        </w:rPr>
        <w:t xml:space="preserve"> ITU-R studies on the frequency band 8 400-8 500 MHz (Earth-to-space) </w:t>
      </w:r>
      <w:r>
        <w:rPr>
          <w:color w:val="000000"/>
        </w:rPr>
        <w:t>regarding</w:t>
      </w:r>
      <w:r w:rsidR="00D166B9">
        <w:rPr>
          <w:color w:val="000000"/>
        </w:rPr>
        <w:t xml:space="preserve"> FS systems with FSS uplink </w:t>
      </w:r>
      <w:r>
        <w:rPr>
          <w:color w:val="000000"/>
        </w:rPr>
        <w:t>indicate the need for protection distances of approximately 100</w:t>
      </w:r>
      <w:r w:rsidR="00623533">
        <w:rPr>
          <w:color w:val="000000"/>
        </w:rPr>
        <w:t> </w:t>
      </w:r>
      <w:r>
        <w:rPr>
          <w:color w:val="000000"/>
        </w:rPr>
        <w:t xml:space="preserve">kilometres to meet </w:t>
      </w:r>
      <w:r w:rsidR="00623533">
        <w:rPr>
          <w:color w:val="000000"/>
        </w:rPr>
        <w:t xml:space="preserve">the </w:t>
      </w:r>
      <w:r>
        <w:rPr>
          <w:color w:val="000000"/>
        </w:rPr>
        <w:t xml:space="preserve">long-term protection criterion and between 211.5 and 426 km to meet </w:t>
      </w:r>
      <w:r w:rsidR="00623533">
        <w:rPr>
          <w:color w:val="000000"/>
        </w:rPr>
        <w:t xml:space="preserve">the </w:t>
      </w:r>
      <w:r>
        <w:rPr>
          <w:color w:val="000000"/>
        </w:rPr>
        <w:t>short-term protection criterion.</w:t>
      </w:r>
    </w:p>
    <w:p w:rsidR="0021164C" w:rsidRDefault="0021164C" w:rsidP="00CD313B">
      <w:pPr>
        <w:rPr>
          <w:color w:val="000000"/>
        </w:rPr>
      </w:pPr>
      <w:r>
        <w:rPr>
          <w:color w:val="000000"/>
        </w:rPr>
        <w:t>Consequently, allocation of the band 8 400-8 500 MHz (Earth-to-space) for FSS uplink would limit or restrict the future deployment of the growing number of terrestrial systems, particular</w:t>
      </w:r>
      <w:r w:rsidR="00645FFE">
        <w:rPr>
          <w:color w:val="000000"/>
        </w:rPr>
        <w:t>ly</w:t>
      </w:r>
      <w:r>
        <w:rPr>
          <w:color w:val="000000"/>
        </w:rPr>
        <w:t xml:space="preserve"> in areas adjacent to national borders, and would cause undue constraints on terrestrial services.</w:t>
      </w:r>
    </w:p>
    <w:p w:rsidR="00187BD9" w:rsidRPr="00A8553F" w:rsidRDefault="001C735F" w:rsidP="00CD313B">
      <w:pPr>
        <w:pStyle w:val="Headingb"/>
        <w:rPr>
          <w:lang w:val="en-GB"/>
        </w:rPr>
      </w:pPr>
      <w:r w:rsidRPr="00A8553F">
        <w:rPr>
          <w:lang w:val="en-GB"/>
        </w:rPr>
        <w:t xml:space="preserve">Proposals </w:t>
      </w:r>
    </w:p>
    <w:p w:rsidR="001C735F" w:rsidRPr="00A8553F" w:rsidRDefault="008B3073" w:rsidP="008B3073">
      <w:r>
        <w:t xml:space="preserve">Based on </w:t>
      </w:r>
      <w:r w:rsidR="0021164C">
        <w:t xml:space="preserve">the results of the ITU-R studies, the Arab </w:t>
      </w:r>
      <w:r>
        <w:t>States a</w:t>
      </w:r>
      <w:r w:rsidR="0021164C">
        <w:t xml:space="preserve">dministrations propose no change to the Radio Regulations in relation to the band </w:t>
      </w:r>
      <w:r w:rsidR="001C735F" w:rsidRPr="00A8553F">
        <w:t xml:space="preserve">7 150-7 250 MHz </w:t>
      </w:r>
      <w:r w:rsidR="0021164C">
        <w:t xml:space="preserve">(space to Earth) </w:t>
      </w:r>
      <w:r w:rsidR="001C735F" w:rsidRPr="00A8553F">
        <w:t xml:space="preserve">and </w:t>
      </w:r>
      <w:r>
        <w:t xml:space="preserve">the </w:t>
      </w:r>
      <w:r w:rsidR="0021164C">
        <w:t xml:space="preserve">band </w:t>
      </w:r>
      <w:r w:rsidR="001C735F" w:rsidRPr="00A8553F">
        <w:t>8 400-8 500 MHz</w:t>
      </w:r>
      <w:r w:rsidR="00CE39C1">
        <w:t>, as clarified below:</w:t>
      </w:r>
    </w:p>
    <w:p w:rsidR="009B463A" w:rsidRDefault="00BA359F" w:rsidP="00CD313B">
      <w:pPr>
        <w:pStyle w:val="ArtNo"/>
        <w:rPr>
          <w:lang w:val="en-AU"/>
        </w:rPr>
      </w:pPr>
      <w:bookmarkStart w:id="8" w:name="_Toc327956582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Default="00BA359F" w:rsidP="00CD313B">
      <w:pPr>
        <w:pStyle w:val="Arttitle"/>
        <w:rPr>
          <w:lang w:val="en-US"/>
        </w:rPr>
      </w:pPr>
      <w:bookmarkStart w:id="9" w:name="_Toc327956583"/>
      <w:r w:rsidRPr="006D07BF">
        <w:t>Frequency</w:t>
      </w:r>
      <w:r>
        <w:t xml:space="preserve"> allocations</w:t>
      </w:r>
      <w:bookmarkEnd w:id="9"/>
    </w:p>
    <w:p w:rsidR="009B463A" w:rsidRPr="00B25B23" w:rsidRDefault="00BA359F" w:rsidP="00CD313B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4C07A5" w:rsidRDefault="00BA359F" w:rsidP="00CD313B">
      <w:pPr>
        <w:pStyle w:val="Proposal"/>
      </w:pPr>
      <w:r>
        <w:rPr>
          <w:u w:val="single"/>
        </w:rPr>
        <w:t>NOC</w:t>
      </w:r>
      <w:r>
        <w:tab/>
        <w:t>ARB/25A9A1/1</w:t>
      </w:r>
    </w:p>
    <w:p w:rsidR="009B463A" w:rsidRPr="007915C9" w:rsidRDefault="00BA359F" w:rsidP="00CD313B">
      <w:pPr>
        <w:pStyle w:val="Tabletitle"/>
      </w:pPr>
      <w:r w:rsidRPr="007915C9">
        <w:t>5 570-7 250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A359F" w:rsidP="00CD313B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A359F" w:rsidP="00CD313B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A359F" w:rsidP="00CD313B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Pr="002B657C" w:rsidRDefault="00BA359F" w:rsidP="00CD313B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BA359F" w:rsidP="008B3073">
            <w:pPr>
              <w:pStyle w:val="TableTextS5"/>
              <w:spacing w:before="20" w:after="20"/>
              <w:rPr>
                <w:color w:val="000000"/>
              </w:rPr>
            </w:pPr>
            <w:r w:rsidRPr="008D45E8">
              <w:rPr>
                <w:rStyle w:val="Tablefreq"/>
              </w:rPr>
              <w:t>7 145-7 235</w:t>
            </w:r>
            <w:r>
              <w:rPr>
                <w:color w:val="000000"/>
              </w:rPr>
              <w:tab/>
              <w:t>FIXED</w:t>
            </w:r>
          </w:p>
          <w:p w:rsidR="009B463A" w:rsidRDefault="00BA359F" w:rsidP="008B3073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BA359F" w:rsidP="008B3073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SPACE RESEARCH (Earth-to-space)  </w:t>
            </w:r>
            <w:r>
              <w:rPr>
                <w:rStyle w:val="Artref"/>
                <w:color w:val="000000"/>
              </w:rPr>
              <w:t>5.460</w:t>
            </w:r>
          </w:p>
          <w:p w:rsidR="009B463A" w:rsidRDefault="00BA359F" w:rsidP="008B3073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  <w:lang w:val="en-AU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5.459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63A" w:rsidRDefault="00BA359F" w:rsidP="008B3073">
            <w:pPr>
              <w:pStyle w:val="TableTextS5"/>
              <w:spacing w:before="20" w:after="20"/>
              <w:rPr>
                <w:color w:val="000000"/>
              </w:rPr>
            </w:pPr>
            <w:r w:rsidRPr="008D45E8">
              <w:rPr>
                <w:rStyle w:val="Tablefreq"/>
              </w:rPr>
              <w:t>7 235-7 250</w:t>
            </w:r>
            <w:r>
              <w:rPr>
                <w:color w:val="000000"/>
              </w:rPr>
              <w:tab/>
              <w:t>FIXED</w:t>
            </w:r>
          </w:p>
          <w:p w:rsidR="009B463A" w:rsidRDefault="00BA359F" w:rsidP="008B3073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ab/>
              <w:t>MOBILE</w:t>
            </w:r>
          </w:p>
          <w:p w:rsidR="009B463A" w:rsidRDefault="00BA359F" w:rsidP="008B3073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  <w:color w:val="000000"/>
                <w:lang w:val="fr-FR"/>
              </w:rPr>
            </w:pPr>
            <w:r>
              <w:rPr>
                <w:color w:val="000000"/>
              </w:rPr>
              <w:tab/>
            </w:r>
            <w:r>
              <w:rPr>
                <w:rStyle w:val="Artref"/>
                <w:color w:val="000000"/>
              </w:rPr>
              <w:t>5.458</w:t>
            </w:r>
          </w:p>
        </w:tc>
      </w:tr>
    </w:tbl>
    <w:p w:rsidR="004C07A5" w:rsidRPr="001E26CA" w:rsidRDefault="001E26CA" w:rsidP="001E26CA">
      <w:pPr>
        <w:pStyle w:val="Reasons"/>
      </w:pPr>
      <w:r w:rsidRPr="001E26CA">
        <w:rPr>
          <w:b/>
        </w:rPr>
        <w:t>Reasons:</w:t>
      </w:r>
      <w:r w:rsidRPr="001E26CA">
        <w:rPr>
          <w:b/>
        </w:rPr>
        <w:tab/>
      </w:r>
      <w:r>
        <w:t>No change for the band 7 150-7 250 MHz (space-to-Earth).</w:t>
      </w:r>
    </w:p>
    <w:p w:rsidR="004C07A5" w:rsidRDefault="00BA359F" w:rsidP="008B3073">
      <w:pPr>
        <w:pStyle w:val="Proposal"/>
      </w:pPr>
      <w:r>
        <w:rPr>
          <w:u w:val="single"/>
        </w:rPr>
        <w:t>NOC</w:t>
      </w:r>
      <w:r>
        <w:tab/>
        <w:t>ARB/25A9A1/2</w:t>
      </w:r>
    </w:p>
    <w:p w:rsidR="009B463A" w:rsidRPr="007915C9" w:rsidRDefault="00BA359F" w:rsidP="008B3073">
      <w:pPr>
        <w:pStyle w:val="Tabletitle"/>
      </w:pPr>
      <w:r w:rsidRPr="007915C9">
        <w:t>7 250-8 500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1"/>
        <w:gridCol w:w="3101"/>
        <w:gridCol w:w="3102"/>
      </w:tblGrid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A359F" w:rsidP="008B3073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A359F" w:rsidP="008B3073">
            <w:pPr>
              <w:pStyle w:val="Tablehead"/>
            </w:pPr>
            <w:r w:rsidRPr="002B657C">
              <w:t>Region 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A359F" w:rsidP="008B3073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BA359F" w:rsidP="008B3073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Default="00BA359F" w:rsidP="008B3073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 w:rsidRPr="008D45E8">
              <w:rPr>
                <w:rStyle w:val="Tablefreq"/>
              </w:rPr>
              <w:t>8 400-8 500</w:t>
            </w:r>
            <w:r>
              <w:rPr>
                <w:color w:val="000000"/>
                <w:lang w:val="en-AU"/>
              </w:rPr>
              <w:tab/>
              <w:t>FIXED</w:t>
            </w:r>
          </w:p>
          <w:p w:rsidR="009B463A" w:rsidRDefault="00BA359F" w:rsidP="008B3073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MOBILE except aeronautical mobile</w:t>
            </w:r>
          </w:p>
          <w:p w:rsidR="009B463A" w:rsidRDefault="00BA359F" w:rsidP="008B3073">
            <w:pPr>
              <w:pStyle w:val="TableTextS5"/>
              <w:spacing w:before="30" w:after="3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 xml:space="preserve">SPACE RESEARCH (space-to-Earth)  </w:t>
            </w:r>
            <w:r>
              <w:rPr>
                <w:rStyle w:val="Artref"/>
                <w:color w:val="000000"/>
                <w:lang w:val="en-AU"/>
              </w:rPr>
              <w:t>5.465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5.466</w:t>
            </w:r>
          </w:p>
        </w:tc>
      </w:tr>
    </w:tbl>
    <w:p w:rsidR="004C07A5" w:rsidRDefault="001E26CA" w:rsidP="001E26CA">
      <w:pPr>
        <w:pStyle w:val="Reasons"/>
      </w:pPr>
      <w:r w:rsidRPr="001E26CA">
        <w:rPr>
          <w:b/>
        </w:rPr>
        <w:t>Reasons:</w:t>
      </w:r>
      <w:r w:rsidRPr="001E26CA">
        <w:rPr>
          <w:b/>
        </w:rPr>
        <w:tab/>
      </w:r>
      <w:r>
        <w:t>No change for the band 8 400-8 500 MHz.</w:t>
      </w:r>
    </w:p>
    <w:p w:rsidR="004C07A5" w:rsidRDefault="00BA359F" w:rsidP="008B3073">
      <w:pPr>
        <w:pStyle w:val="Proposal"/>
      </w:pPr>
      <w:r>
        <w:t>SUP</w:t>
      </w:r>
      <w:r>
        <w:tab/>
        <w:t>ARB/25A9A1/3</w:t>
      </w:r>
    </w:p>
    <w:p w:rsidR="003638D8" w:rsidRPr="006905BC" w:rsidRDefault="00BA359F" w:rsidP="008B3073">
      <w:pPr>
        <w:pStyle w:val="ResNo"/>
      </w:pPr>
      <w:r w:rsidRPr="006905BC">
        <w:t xml:space="preserve">RESOLUTION </w:t>
      </w:r>
      <w:r w:rsidRPr="006905BC">
        <w:rPr>
          <w:rStyle w:val="href"/>
        </w:rPr>
        <w:t>758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BA359F" w:rsidP="008B3073">
      <w:pPr>
        <w:pStyle w:val="Restitle"/>
      </w:pPr>
      <w:bookmarkStart w:id="10" w:name="_Toc327364581"/>
      <w:r w:rsidRPr="006905BC">
        <w:t>Allocation to the fixed-satellite service and the maritime-</w:t>
      </w:r>
      <w:r w:rsidRPr="006905BC">
        <w:br/>
        <w:t>mobile satellite service in the 7/8 GHz range</w:t>
      </w:r>
      <w:bookmarkEnd w:id="10"/>
    </w:p>
    <w:p w:rsidR="004C07A5" w:rsidRDefault="00BA359F" w:rsidP="008B3073">
      <w:pPr>
        <w:pStyle w:val="Reasons"/>
      </w:pPr>
      <w:r>
        <w:rPr>
          <w:b/>
        </w:rPr>
        <w:t>Reasons:</w:t>
      </w:r>
      <w:r>
        <w:tab/>
      </w:r>
      <w:r w:rsidR="0004023E">
        <w:t>There is no need for this resolution.</w:t>
      </w:r>
    </w:p>
    <w:p w:rsidR="001C735F" w:rsidRDefault="001C735F" w:rsidP="008B3073">
      <w:pPr>
        <w:pStyle w:val="Reasons"/>
      </w:pPr>
    </w:p>
    <w:p w:rsidR="001C735F" w:rsidRDefault="001C735F" w:rsidP="008B3073">
      <w:pPr>
        <w:pStyle w:val="Reasons"/>
      </w:pPr>
    </w:p>
    <w:p w:rsidR="001C735F" w:rsidRDefault="001C735F" w:rsidP="008B3073">
      <w:pPr>
        <w:jc w:val="center"/>
      </w:pPr>
      <w:r>
        <w:t>______________</w:t>
      </w:r>
    </w:p>
    <w:p w:rsidR="001C735F" w:rsidRDefault="001C735F" w:rsidP="008B3073">
      <w:pPr>
        <w:pStyle w:val="Reasons"/>
      </w:pPr>
    </w:p>
    <w:sectPr w:rsidR="001C73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B7" w:rsidRDefault="00AF78B7">
      <w:r>
        <w:separator/>
      </w:r>
    </w:p>
  </w:endnote>
  <w:endnote w:type="continuationSeparator" w:id="0">
    <w:p w:rsidR="00AF78B7" w:rsidRDefault="00AF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FA265D">
      <w:fldChar w:fldCharType="separate"/>
    </w:r>
    <w:r w:rsidR="00FA265D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265D">
      <w:rPr>
        <w:noProof/>
        <w:lang w:val="en-US"/>
      </w:rPr>
      <w:t>P:\ENG\ITU-R\CONF-R\CMR15\000\025ADD09ADD01V3E.docx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265D">
      <w:rPr>
        <w:noProof/>
      </w:rPr>
      <w:t>14.10.15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A265D">
      <w:rPr>
        <w:noProof/>
      </w:rPr>
      <w:t>25.09.15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33" w:rsidRDefault="00623533" w:rsidP="00623533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265D">
      <w:rPr>
        <w:lang w:val="en-US"/>
      </w:rPr>
      <w:t>P:\ENG\ITU-R\CONF-R\CMR15\000\025ADD09ADD01V3E.docx</w:t>
    </w:r>
    <w:r>
      <w:fldChar w:fldCharType="end"/>
    </w:r>
    <w:r>
      <w:t xml:space="preserve"> (386860)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97D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4DF5">
      <w:t>25.09.15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9F" w:rsidRDefault="00BA359F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A265D">
      <w:rPr>
        <w:lang w:val="en-US"/>
      </w:rPr>
      <w:t>P:\ENG\ITU-R\CONF-R\CMR15\000\025ADD09ADD01V3E.docx</w:t>
    </w:r>
    <w:r>
      <w:fldChar w:fldCharType="end"/>
    </w:r>
    <w:r>
      <w:t xml:space="preserve"> (386860)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297D">
      <w:t>12.10.15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F4DF5">
      <w:t>25.09.15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B7" w:rsidRDefault="00AF78B7">
      <w:r>
        <w:rPr>
          <w:b/>
        </w:rPr>
        <w:t>_______________</w:t>
      </w:r>
    </w:p>
  </w:footnote>
  <w:footnote w:type="continuationSeparator" w:id="0">
    <w:p w:rsidR="00AF78B7" w:rsidRDefault="00AF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7D" w:rsidRDefault="000E2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A265D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bookmarkStart w:id="11" w:name="_GoBack"/>
    <w:r>
      <w:t>CMR1</w:t>
    </w:r>
    <w:r w:rsidR="00241FA2">
      <w:t>5</w:t>
    </w:r>
    <w:r w:rsidR="00A066F1">
      <w:t>/</w:t>
    </w:r>
    <w:bookmarkStart w:id="12" w:name="OLE_LINK1"/>
    <w:bookmarkStart w:id="13" w:name="OLE_LINK2"/>
    <w:bookmarkStart w:id="14" w:name="OLE_LINK3"/>
    <w:r w:rsidR="00EB55C6">
      <w:t>25(Add.9)(Add.1)</w:t>
    </w:r>
    <w:bookmarkEnd w:id="12"/>
    <w:bookmarkEnd w:id="13"/>
    <w:bookmarkEnd w:id="14"/>
    <w:r>
      <w:t>-</w:t>
    </w:r>
    <w:r w:rsidR="004A26C4" w:rsidRPr="004A26C4">
      <w:t>E</w:t>
    </w:r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7D" w:rsidRDefault="000E2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4023E"/>
    <w:rsid w:val="00051E39"/>
    <w:rsid w:val="000705F2"/>
    <w:rsid w:val="00077239"/>
    <w:rsid w:val="00086491"/>
    <w:rsid w:val="00091346"/>
    <w:rsid w:val="0009706C"/>
    <w:rsid w:val="000D154B"/>
    <w:rsid w:val="000E297D"/>
    <w:rsid w:val="000F73FF"/>
    <w:rsid w:val="00114CF7"/>
    <w:rsid w:val="00123B68"/>
    <w:rsid w:val="00126F2E"/>
    <w:rsid w:val="00146F6F"/>
    <w:rsid w:val="00187BD9"/>
    <w:rsid w:val="00190B55"/>
    <w:rsid w:val="001C3B5F"/>
    <w:rsid w:val="001C735F"/>
    <w:rsid w:val="001D058F"/>
    <w:rsid w:val="001E26CA"/>
    <w:rsid w:val="001F4DF5"/>
    <w:rsid w:val="002009EA"/>
    <w:rsid w:val="00202CA0"/>
    <w:rsid w:val="0021164C"/>
    <w:rsid w:val="00216B6D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575EB"/>
    <w:rsid w:val="00492075"/>
    <w:rsid w:val="004969AD"/>
    <w:rsid w:val="004A26C4"/>
    <w:rsid w:val="004B13CB"/>
    <w:rsid w:val="004C07A5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23533"/>
    <w:rsid w:val="00645FFE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C5FCB"/>
    <w:rsid w:val="007D5320"/>
    <w:rsid w:val="00800972"/>
    <w:rsid w:val="00804475"/>
    <w:rsid w:val="00811633"/>
    <w:rsid w:val="00841216"/>
    <w:rsid w:val="00872FC8"/>
    <w:rsid w:val="008845D0"/>
    <w:rsid w:val="00884D60"/>
    <w:rsid w:val="008B3073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553F"/>
    <w:rsid w:val="00A93B85"/>
    <w:rsid w:val="00AA0B18"/>
    <w:rsid w:val="00AA3C65"/>
    <w:rsid w:val="00AA666F"/>
    <w:rsid w:val="00AF78B7"/>
    <w:rsid w:val="00B62509"/>
    <w:rsid w:val="00B639E9"/>
    <w:rsid w:val="00B817CD"/>
    <w:rsid w:val="00B81A7D"/>
    <w:rsid w:val="00B94AD0"/>
    <w:rsid w:val="00BA359F"/>
    <w:rsid w:val="00BB3A95"/>
    <w:rsid w:val="00BD6CCE"/>
    <w:rsid w:val="00BE4FC9"/>
    <w:rsid w:val="00C0018F"/>
    <w:rsid w:val="00C16A5A"/>
    <w:rsid w:val="00C20466"/>
    <w:rsid w:val="00C214ED"/>
    <w:rsid w:val="00C234E6"/>
    <w:rsid w:val="00C324A8"/>
    <w:rsid w:val="00C54517"/>
    <w:rsid w:val="00C63C04"/>
    <w:rsid w:val="00C64CD8"/>
    <w:rsid w:val="00C97C68"/>
    <w:rsid w:val="00CA1A47"/>
    <w:rsid w:val="00CB44E5"/>
    <w:rsid w:val="00CC247A"/>
    <w:rsid w:val="00CD313B"/>
    <w:rsid w:val="00CE388F"/>
    <w:rsid w:val="00CE39C1"/>
    <w:rsid w:val="00CE5E47"/>
    <w:rsid w:val="00CF020F"/>
    <w:rsid w:val="00CF02A9"/>
    <w:rsid w:val="00CF2B5B"/>
    <w:rsid w:val="00D14CE0"/>
    <w:rsid w:val="00D166B9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90F9E"/>
    <w:rsid w:val="00FA265D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20BDCAD-465E-492B-9A78-3D401616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C63C0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63C04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8B307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771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R15-WRC15-C-0025!A9-A1!MSW-E</DPM_x0020_File_x0020_name>
    <DPM_x0020_Author xmlns="32a1a8c5-2265-4ebc-b7a0-2071e2c5c9bb" xsi:nil="false">Documents Proposals Manager (DPM)</DPM_x0020_Author>
    <DPM_x0020_Version xmlns="32a1a8c5-2265-4ebc-b7a0-2071e2c5c9bb" xsi:nil="false">DPM_v5.2015.9.9_prod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3700-8D01-4A5F-835A-0A147D1D5C72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996b2e75-67fd-4955-a3b0-5ab9934cb50b"/>
    <ds:schemaRef ds:uri="http://www.w3.org/XML/1998/namespace"/>
    <ds:schemaRef ds:uri="http://purl.org/dc/dcmitype/"/>
    <ds:schemaRef ds:uri="http://schemas.openxmlformats.org/package/2006/metadata/core-properties"/>
    <ds:schemaRef ds:uri="32a1a8c5-2265-4ebc-b7a0-2071e2c5c9b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38F116-39B6-4834-A31F-E8FDF32F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0</TotalTime>
  <Pages>2</Pages>
  <Words>439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R15-WRC15-C-0025!A9-A1!MSW-E</vt:lpstr>
    </vt:vector>
  </TitlesOfParts>
  <Manager>General Secretariat - Pool</Manager>
  <Company>International Telecommunication Union (ITU)</Company>
  <LinksUpToDate>false</LinksUpToDate>
  <CharactersWithSpaces>2926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R15-WRC15-C-0025!A9-A1!MSW-E</dc:title>
  <dc:subject>World Radiocommunication Conference - 2015</dc:subject>
  <dc:creator>Documents Proposals Manager (DPM)</dc:creator>
  <cp:keywords>DPM_v5.2015.9.9_prod</cp:keywords>
  <dc:description>Uploaded on 2015.07.06</dc:description>
  <cp:lastModifiedBy>Currie, Jane</cp:lastModifiedBy>
  <cp:revision>3</cp:revision>
  <cp:lastPrinted>2015-09-25T06:44:00Z</cp:lastPrinted>
  <dcterms:created xsi:type="dcterms:W3CDTF">2015-10-14T13:58:00Z</dcterms:created>
  <dcterms:modified xsi:type="dcterms:W3CDTF">2015-10-14T13:58:00Z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