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A066F1" w:rsidRPr="00D764C5" w:rsidTr="002D73AE">
        <w:trPr>
          <w:gridAfter w:val="1"/>
          <w:wAfter w:w="317" w:type="dxa"/>
          <w:cantSplit/>
        </w:trPr>
        <w:tc>
          <w:tcPr>
            <w:tcW w:w="6911" w:type="dxa"/>
            <w:gridSpan w:val="2"/>
          </w:tcPr>
          <w:p w:rsidR="00A066F1" w:rsidRPr="00D764C5" w:rsidRDefault="00241FA2" w:rsidP="003B2284">
            <w:pPr>
              <w:spacing w:before="400" w:after="48" w:line="240" w:lineRule="atLeast"/>
              <w:rPr>
                <w:rFonts w:ascii="Verdana" w:hAnsi="Verdana"/>
                <w:position w:val="6"/>
              </w:rPr>
            </w:pPr>
            <w:r w:rsidRPr="00D764C5">
              <w:rPr>
                <w:rFonts w:ascii="Verdana" w:hAnsi="Verdana" w:cs="Times"/>
                <w:b/>
                <w:position w:val="6"/>
                <w:sz w:val="22"/>
                <w:szCs w:val="22"/>
              </w:rPr>
              <w:t>World Radiocommunication Conference (WRC-15)</w:t>
            </w:r>
            <w:r w:rsidRPr="00D764C5">
              <w:rPr>
                <w:rFonts w:ascii="Verdana" w:hAnsi="Verdana" w:cs="Times"/>
                <w:b/>
                <w:position w:val="6"/>
                <w:sz w:val="26"/>
                <w:szCs w:val="26"/>
              </w:rPr>
              <w:br/>
            </w:r>
            <w:r w:rsidRPr="00D764C5">
              <w:rPr>
                <w:rFonts w:ascii="Verdana" w:hAnsi="Verdana"/>
                <w:b/>
                <w:bCs/>
                <w:position w:val="6"/>
                <w:sz w:val="18"/>
                <w:szCs w:val="18"/>
              </w:rPr>
              <w:t>Geneva, 2–27 November 2015</w:t>
            </w:r>
          </w:p>
        </w:tc>
        <w:tc>
          <w:tcPr>
            <w:tcW w:w="3120" w:type="dxa"/>
          </w:tcPr>
          <w:p w:rsidR="00A066F1" w:rsidRPr="00D764C5" w:rsidRDefault="003B2284" w:rsidP="003B2284">
            <w:pPr>
              <w:spacing w:before="0" w:line="240" w:lineRule="atLeast"/>
              <w:jc w:val="right"/>
            </w:pPr>
            <w:bookmarkStart w:id="0" w:name="ditulogo"/>
            <w:bookmarkEnd w:id="0"/>
            <w:r w:rsidRPr="00D764C5">
              <w:rPr>
                <w:noProof/>
                <w:lang w:eastAsia="zh-CN"/>
              </w:rPr>
              <w:drawing>
                <wp:inline distT="0" distB="0" distL="0" distR="0" wp14:anchorId="1C6B5C40" wp14:editId="5DBED7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D764C5" w:rsidTr="002D73AE">
        <w:trPr>
          <w:gridAfter w:val="1"/>
          <w:wAfter w:w="317" w:type="dxa"/>
          <w:cantSplit/>
        </w:trPr>
        <w:tc>
          <w:tcPr>
            <w:tcW w:w="6911" w:type="dxa"/>
            <w:gridSpan w:val="2"/>
            <w:tcBorders>
              <w:bottom w:val="single" w:sz="12" w:space="0" w:color="auto"/>
            </w:tcBorders>
          </w:tcPr>
          <w:p w:rsidR="00A066F1" w:rsidRPr="00D764C5" w:rsidRDefault="003B2284" w:rsidP="00A066F1">
            <w:pPr>
              <w:spacing w:before="0" w:after="48" w:line="240" w:lineRule="atLeast"/>
              <w:rPr>
                <w:rFonts w:ascii="Verdana" w:hAnsi="Verdana"/>
                <w:b/>
                <w:smallCaps/>
                <w:sz w:val="20"/>
              </w:rPr>
            </w:pPr>
            <w:bookmarkStart w:id="1" w:name="dhead"/>
            <w:r w:rsidRPr="00D764C5">
              <w:rPr>
                <w:rFonts w:ascii="Verdana" w:hAnsi="Verdana"/>
                <w:b/>
                <w:smallCaps/>
                <w:sz w:val="20"/>
              </w:rPr>
              <w:t>INTERNATIONAL TELECOMMUNICATION UNION</w:t>
            </w:r>
          </w:p>
        </w:tc>
        <w:tc>
          <w:tcPr>
            <w:tcW w:w="3120" w:type="dxa"/>
            <w:tcBorders>
              <w:bottom w:val="single" w:sz="12" w:space="0" w:color="auto"/>
            </w:tcBorders>
          </w:tcPr>
          <w:p w:rsidR="00A066F1" w:rsidRPr="00D764C5" w:rsidRDefault="00A066F1" w:rsidP="00A066F1">
            <w:pPr>
              <w:spacing w:before="0" w:line="240" w:lineRule="atLeast"/>
              <w:rPr>
                <w:rFonts w:ascii="Verdana" w:hAnsi="Verdana"/>
                <w:szCs w:val="24"/>
              </w:rPr>
            </w:pPr>
          </w:p>
        </w:tc>
      </w:tr>
      <w:tr w:rsidR="00A066F1" w:rsidRPr="00D764C5" w:rsidTr="002D73AE">
        <w:trPr>
          <w:gridAfter w:val="1"/>
          <w:wAfter w:w="317" w:type="dxa"/>
          <w:cantSplit/>
        </w:trPr>
        <w:tc>
          <w:tcPr>
            <w:tcW w:w="6911" w:type="dxa"/>
            <w:gridSpan w:val="2"/>
            <w:tcBorders>
              <w:top w:val="single" w:sz="12" w:space="0" w:color="auto"/>
            </w:tcBorders>
          </w:tcPr>
          <w:p w:rsidR="00A066F1" w:rsidRPr="00D764C5"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D764C5" w:rsidRDefault="00A066F1" w:rsidP="00A066F1">
            <w:pPr>
              <w:spacing w:before="0" w:line="240" w:lineRule="atLeast"/>
              <w:rPr>
                <w:rFonts w:ascii="Verdana" w:hAnsi="Verdana"/>
                <w:sz w:val="20"/>
              </w:rPr>
            </w:pPr>
          </w:p>
        </w:tc>
      </w:tr>
      <w:tr w:rsidR="00A066F1" w:rsidRPr="00D764C5" w:rsidTr="002D73AE">
        <w:trPr>
          <w:cantSplit/>
          <w:trHeight w:val="23"/>
        </w:trPr>
        <w:tc>
          <w:tcPr>
            <w:tcW w:w="6521" w:type="dxa"/>
            <w:shd w:val="clear" w:color="auto" w:fill="auto"/>
          </w:tcPr>
          <w:p w:rsidR="00A066F1" w:rsidRPr="00D764C5"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D764C5">
              <w:rPr>
                <w:rFonts w:ascii="Verdana" w:hAnsi="Verdana"/>
                <w:sz w:val="20"/>
                <w:szCs w:val="20"/>
              </w:rPr>
              <w:t>PLENARY MEETING</w:t>
            </w:r>
          </w:p>
        </w:tc>
        <w:tc>
          <w:tcPr>
            <w:tcW w:w="3827" w:type="dxa"/>
            <w:gridSpan w:val="3"/>
            <w:shd w:val="clear" w:color="auto" w:fill="auto"/>
          </w:tcPr>
          <w:p w:rsidR="00A066F1" w:rsidRPr="00D764C5" w:rsidRDefault="00E55816" w:rsidP="00AA666F">
            <w:pPr>
              <w:tabs>
                <w:tab w:val="left" w:pos="851"/>
              </w:tabs>
              <w:spacing w:before="0" w:line="240" w:lineRule="atLeast"/>
              <w:rPr>
                <w:rFonts w:ascii="Verdana" w:hAnsi="Verdana"/>
                <w:sz w:val="20"/>
              </w:rPr>
            </w:pPr>
            <w:r w:rsidRPr="00D764C5">
              <w:rPr>
                <w:rFonts w:ascii="Verdana" w:eastAsia="SimSun" w:hAnsi="Verdana" w:cs="Traditional Arabic"/>
                <w:b/>
                <w:sz w:val="20"/>
              </w:rPr>
              <w:t>Addendum 2 to</w:t>
            </w:r>
            <w:r w:rsidRPr="00D764C5">
              <w:rPr>
                <w:rFonts w:ascii="Verdana" w:eastAsia="SimSun" w:hAnsi="Verdana" w:cs="Traditional Arabic"/>
                <w:b/>
                <w:sz w:val="20"/>
              </w:rPr>
              <w:br/>
              <w:t>Document 28(Add.23)(Add.1)</w:t>
            </w:r>
            <w:r w:rsidR="00A066F1" w:rsidRPr="00D764C5">
              <w:rPr>
                <w:rFonts w:ascii="Verdana" w:hAnsi="Verdana"/>
                <w:b/>
                <w:sz w:val="20"/>
              </w:rPr>
              <w:t>-</w:t>
            </w:r>
            <w:r w:rsidR="005E10C9" w:rsidRPr="00D764C5">
              <w:rPr>
                <w:rFonts w:ascii="Verdana" w:hAnsi="Verdana"/>
                <w:b/>
                <w:sz w:val="20"/>
              </w:rPr>
              <w:t>E</w:t>
            </w:r>
          </w:p>
        </w:tc>
      </w:tr>
      <w:tr w:rsidR="00A066F1" w:rsidRPr="00D764C5" w:rsidTr="002D73AE">
        <w:trPr>
          <w:gridAfter w:val="1"/>
          <w:wAfter w:w="317" w:type="dxa"/>
          <w:cantSplit/>
          <w:trHeight w:val="23"/>
        </w:trPr>
        <w:tc>
          <w:tcPr>
            <w:tcW w:w="6521" w:type="dxa"/>
            <w:shd w:val="clear" w:color="auto" w:fill="auto"/>
          </w:tcPr>
          <w:p w:rsidR="00A066F1" w:rsidRPr="00D764C5"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510" w:type="dxa"/>
            <w:gridSpan w:val="2"/>
            <w:shd w:val="clear" w:color="auto" w:fill="auto"/>
          </w:tcPr>
          <w:p w:rsidR="00A066F1" w:rsidRPr="00D764C5" w:rsidRDefault="00420873" w:rsidP="00A066F1">
            <w:pPr>
              <w:tabs>
                <w:tab w:val="left" w:pos="993"/>
              </w:tabs>
              <w:spacing w:before="0"/>
              <w:rPr>
                <w:rFonts w:ascii="Verdana" w:hAnsi="Verdana"/>
                <w:sz w:val="20"/>
              </w:rPr>
            </w:pPr>
            <w:r w:rsidRPr="00D764C5">
              <w:rPr>
                <w:rFonts w:ascii="Verdana" w:hAnsi="Verdana"/>
                <w:b/>
                <w:sz w:val="20"/>
              </w:rPr>
              <w:t>16 September 2015</w:t>
            </w:r>
          </w:p>
        </w:tc>
      </w:tr>
      <w:tr w:rsidR="00A066F1" w:rsidRPr="00D764C5" w:rsidTr="002D73AE">
        <w:trPr>
          <w:gridAfter w:val="1"/>
          <w:wAfter w:w="317" w:type="dxa"/>
          <w:cantSplit/>
          <w:trHeight w:val="23"/>
        </w:trPr>
        <w:tc>
          <w:tcPr>
            <w:tcW w:w="6521" w:type="dxa"/>
            <w:shd w:val="clear" w:color="auto" w:fill="auto"/>
          </w:tcPr>
          <w:p w:rsidR="00A066F1" w:rsidRPr="00D764C5"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510" w:type="dxa"/>
            <w:gridSpan w:val="2"/>
          </w:tcPr>
          <w:p w:rsidR="00A066F1" w:rsidRPr="00D764C5" w:rsidRDefault="00E55816" w:rsidP="00A066F1">
            <w:pPr>
              <w:tabs>
                <w:tab w:val="left" w:pos="993"/>
              </w:tabs>
              <w:spacing w:before="0"/>
              <w:rPr>
                <w:rFonts w:ascii="Verdana" w:hAnsi="Verdana"/>
                <w:b/>
                <w:sz w:val="20"/>
              </w:rPr>
            </w:pPr>
            <w:r w:rsidRPr="00D764C5">
              <w:rPr>
                <w:rFonts w:ascii="Verdana" w:hAnsi="Verdana"/>
                <w:b/>
                <w:sz w:val="20"/>
              </w:rPr>
              <w:t>Original: English</w:t>
            </w:r>
          </w:p>
        </w:tc>
      </w:tr>
      <w:tr w:rsidR="00A066F1" w:rsidRPr="00D764C5" w:rsidTr="002D73AE">
        <w:trPr>
          <w:gridAfter w:val="1"/>
          <w:wAfter w:w="317" w:type="dxa"/>
          <w:cantSplit/>
          <w:trHeight w:val="23"/>
        </w:trPr>
        <w:tc>
          <w:tcPr>
            <w:tcW w:w="10031" w:type="dxa"/>
            <w:gridSpan w:val="3"/>
            <w:shd w:val="clear" w:color="auto" w:fill="auto"/>
          </w:tcPr>
          <w:p w:rsidR="00A066F1" w:rsidRPr="00D764C5" w:rsidRDefault="00A066F1" w:rsidP="00A066F1">
            <w:pPr>
              <w:tabs>
                <w:tab w:val="left" w:pos="993"/>
              </w:tabs>
              <w:spacing w:before="0"/>
              <w:rPr>
                <w:rFonts w:ascii="Verdana" w:hAnsi="Verdana"/>
                <w:b/>
                <w:sz w:val="20"/>
              </w:rPr>
            </w:pPr>
          </w:p>
        </w:tc>
      </w:tr>
      <w:tr w:rsidR="00E55816" w:rsidRPr="00D764C5" w:rsidTr="002D73AE">
        <w:trPr>
          <w:gridAfter w:val="1"/>
          <w:wAfter w:w="317" w:type="dxa"/>
          <w:cantSplit/>
          <w:trHeight w:val="23"/>
        </w:trPr>
        <w:tc>
          <w:tcPr>
            <w:tcW w:w="10031" w:type="dxa"/>
            <w:gridSpan w:val="3"/>
            <w:shd w:val="clear" w:color="auto" w:fill="auto"/>
          </w:tcPr>
          <w:p w:rsidR="00E55816" w:rsidRPr="00D764C5" w:rsidRDefault="00884D60" w:rsidP="00E55816">
            <w:pPr>
              <w:pStyle w:val="Source"/>
            </w:pPr>
            <w:r w:rsidRPr="00D764C5">
              <w:t>African Common Proposals</w:t>
            </w:r>
          </w:p>
        </w:tc>
      </w:tr>
      <w:tr w:rsidR="00E55816" w:rsidRPr="00D764C5" w:rsidTr="002D73AE">
        <w:trPr>
          <w:gridAfter w:val="1"/>
          <w:wAfter w:w="317" w:type="dxa"/>
          <w:cantSplit/>
          <w:trHeight w:val="23"/>
        </w:trPr>
        <w:tc>
          <w:tcPr>
            <w:tcW w:w="10031" w:type="dxa"/>
            <w:gridSpan w:val="3"/>
            <w:shd w:val="clear" w:color="auto" w:fill="auto"/>
          </w:tcPr>
          <w:p w:rsidR="00E55816" w:rsidRPr="00D764C5" w:rsidRDefault="007D5320" w:rsidP="00E55816">
            <w:pPr>
              <w:pStyle w:val="Title1"/>
            </w:pPr>
            <w:r w:rsidRPr="00D764C5">
              <w:t>Proposals for the work of the conference</w:t>
            </w:r>
          </w:p>
        </w:tc>
      </w:tr>
      <w:tr w:rsidR="00E55816" w:rsidRPr="00D764C5" w:rsidTr="002D73AE">
        <w:trPr>
          <w:gridAfter w:val="1"/>
          <w:wAfter w:w="317" w:type="dxa"/>
          <w:cantSplit/>
          <w:trHeight w:val="23"/>
        </w:trPr>
        <w:tc>
          <w:tcPr>
            <w:tcW w:w="10031" w:type="dxa"/>
            <w:gridSpan w:val="3"/>
            <w:shd w:val="clear" w:color="auto" w:fill="auto"/>
          </w:tcPr>
          <w:p w:rsidR="00E55816" w:rsidRPr="00D764C5" w:rsidRDefault="00E55816" w:rsidP="00E55816">
            <w:pPr>
              <w:pStyle w:val="Title2"/>
            </w:pPr>
          </w:p>
        </w:tc>
      </w:tr>
      <w:tr w:rsidR="00A538A6" w:rsidRPr="00D764C5" w:rsidTr="002D73AE">
        <w:trPr>
          <w:gridAfter w:val="1"/>
          <w:wAfter w:w="317" w:type="dxa"/>
          <w:cantSplit/>
          <w:trHeight w:val="23"/>
        </w:trPr>
        <w:tc>
          <w:tcPr>
            <w:tcW w:w="10031" w:type="dxa"/>
            <w:gridSpan w:val="3"/>
            <w:shd w:val="clear" w:color="auto" w:fill="auto"/>
          </w:tcPr>
          <w:p w:rsidR="00A538A6" w:rsidRPr="00D764C5" w:rsidRDefault="004B13CB" w:rsidP="004B13CB">
            <w:pPr>
              <w:pStyle w:val="Agendaitem"/>
              <w:rPr>
                <w:lang w:val="en-GB"/>
              </w:rPr>
            </w:pPr>
            <w:r w:rsidRPr="00D764C5">
              <w:rPr>
                <w:lang w:val="en-GB"/>
              </w:rPr>
              <w:t>Agenda item 9.1(9.1.2)</w:t>
            </w:r>
          </w:p>
        </w:tc>
      </w:tr>
    </w:tbl>
    <w:bookmarkEnd w:id="6"/>
    <w:bookmarkEnd w:id="7"/>
    <w:p w:rsidR="00C131DF" w:rsidRPr="00D764C5" w:rsidRDefault="00C131DF" w:rsidP="00C131DF">
      <w:pPr>
        <w:overflowPunct/>
        <w:autoSpaceDE/>
        <w:autoSpaceDN/>
        <w:adjustRightInd/>
        <w:textAlignment w:val="auto"/>
      </w:pPr>
      <w:r w:rsidRPr="00D764C5">
        <w:t>9</w:t>
      </w:r>
      <w:r w:rsidRPr="00D764C5">
        <w:tab/>
        <w:t>to consider and approve the Report of the Director of the Radiocommunication Bureau, in accordance with Article 7 of the Convention:</w:t>
      </w:r>
    </w:p>
    <w:p w:rsidR="00C131DF" w:rsidRPr="00D764C5" w:rsidRDefault="00C131DF" w:rsidP="00C131DF">
      <w:pPr>
        <w:overflowPunct/>
        <w:autoSpaceDE/>
        <w:autoSpaceDN/>
        <w:adjustRightInd/>
        <w:spacing w:before="100"/>
        <w:textAlignment w:val="auto"/>
      </w:pPr>
      <w:r w:rsidRPr="00D764C5">
        <w:t>9.1</w:t>
      </w:r>
      <w:r w:rsidRPr="00D764C5">
        <w:tab/>
        <w:t>on the activities of the Radiocommunication Sector since WRC</w:t>
      </w:r>
      <w:r w:rsidRPr="00D764C5">
        <w:noBreakHyphen/>
        <w:t>12;</w:t>
      </w:r>
    </w:p>
    <w:p w:rsidR="00C131DF" w:rsidRPr="00D764C5" w:rsidRDefault="00C131DF" w:rsidP="00C131DF">
      <w:r w:rsidRPr="00D764C5">
        <w:t xml:space="preserve">9.1(9.1.2) </w:t>
      </w:r>
      <w:r w:rsidRPr="00D764C5">
        <w:tab/>
        <w:t xml:space="preserve">Resolution </w:t>
      </w:r>
      <w:r w:rsidRPr="00D764C5">
        <w:rPr>
          <w:b/>
          <w:bCs/>
        </w:rPr>
        <w:t>756 (WRC-12)</w:t>
      </w:r>
      <w:r w:rsidRPr="00D764C5">
        <w:t xml:space="preserve"> − Studies on possible reduction of the coordination arc and technical criteria used in application of No. </w:t>
      </w:r>
      <w:r w:rsidRPr="00D764C5">
        <w:rPr>
          <w:b/>
          <w:bCs/>
        </w:rPr>
        <w:t>9.41</w:t>
      </w:r>
      <w:r w:rsidRPr="00D764C5">
        <w:t xml:space="preserve"> in respect of coordination under No. </w:t>
      </w:r>
      <w:r w:rsidRPr="00D764C5">
        <w:rPr>
          <w:b/>
          <w:bCs/>
        </w:rPr>
        <w:t>9.7</w:t>
      </w:r>
    </w:p>
    <w:p w:rsidR="00241FA2" w:rsidRPr="00D764C5" w:rsidRDefault="00241FA2" w:rsidP="00187BD9">
      <w:pPr>
        <w:tabs>
          <w:tab w:val="clear" w:pos="1134"/>
          <w:tab w:val="clear" w:pos="1871"/>
          <w:tab w:val="clear" w:pos="2268"/>
        </w:tabs>
        <w:overflowPunct/>
        <w:autoSpaceDE/>
        <w:autoSpaceDN/>
        <w:adjustRightInd/>
        <w:spacing w:before="0"/>
        <w:textAlignment w:val="auto"/>
      </w:pPr>
    </w:p>
    <w:p w:rsidR="00187BD9" w:rsidRPr="00D764C5" w:rsidRDefault="00187BD9" w:rsidP="00187BD9">
      <w:pPr>
        <w:tabs>
          <w:tab w:val="clear" w:pos="1134"/>
          <w:tab w:val="clear" w:pos="1871"/>
          <w:tab w:val="clear" w:pos="2268"/>
        </w:tabs>
        <w:overflowPunct/>
        <w:autoSpaceDE/>
        <w:autoSpaceDN/>
        <w:adjustRightInd/>
        <w:spacing w:before="0"/>
        <w:textAlignment w:val="auto"/>
      </w:pPr>
      <w:r w:rsidRPr="00D764C5">
        <w:br w:type="page"/>
      </w:r>
    </w:p>
    <w:p w:rsidR="00C131DF" w:rsidRPr="00D764C5" w:rsidRDefault="00C131DF" w:rsidP="00C131DF">
      <w:pPr>
        <w:pStyle w:val="Headingb"/>
        <w:rPr>
          <w:lang w:val="en-GB"/>
        </w:rPr>
      </w:pPr>
      <w:r w:rsidRPr="00D764C5">
        <w:rPr>
          <w:lang w:val="en-GB"/>
        </w:rPr>
        <w:lastRenderedPageBreak/>
        <w:t xml:space="preserve">Issue A: Regulatory and procedural considerations in respect of resolves 1 of Resolution </w:t>
      </w:r>
      <w:r w:rsidRPr="00D764C5">
        <w:rPr>
          <w:bCs/>
          <w:lang w:val="en-GB"/>
        </w:rPr>
        <w:t>756 (WRC-12)</w:t>
      </w:r>
    </w:p>
    <w:p w:rsidR="002128EB" w:rsidRPr="00D764C5" w:rsidRDefault="00C131DF">
      <w:pPr>
        <w:pStyle w:val="Proposal"/>
      </w:pPr>
      <w:r w:rsidRPr="00D764C5">
        <w:rPr>
          <w:u w:val="single"/>
        </w:rPr>
        <w:t>NOC</w:t>
      </w:r>
      <w:r w:rsidRPr="00D764C5">
        <w:tab/>
        <w:t>AFCP/28A23A1A2/1</w:t>
      </w:r>
    </w:p>
    <w:p w:rsidR="00C131DF" w:rsidRPr="00D764C5" w:rsidRDefault="00C131DF" w:rsidP="00C131DF">
      <w:pPr>
        <w:pStyle w:val="ArtNo"/>
        <w:keepLines w:val="0"/>
      </w:pPr>
      <w:bookmarkStart w:id="8" w:name="_Toc327956592"/>
      <w:r w:rsidRPr="00D764C5">
        <w:t xml:space="preserve">ARTICLE </w:t>
      </w:r>
      <w:r w:rsidRPr="00D764C5">
        <w:rPr>
          <w:rStyle w:val="href"/>
        </w:rPr>
        <w:t>9</w:t>
      </w:r>
      <w:bookmarkEnd w:id="8"/>
    </w:p>
    <w:p w:rsidR="00C131DF" w:rsidRPr="00D764C5" w:rsidRDefault="00C131DF" w:rsidP="00C131DF">
      <w:pPr>
        <w:pStyle w:val="Arttitle"/>
        <w:keepLines w:val="0"/>
      </w:pPr>
      <w:bookmarkStart w:id="9" w:name="_Toc327956593"/>
      <w:r w:rsidRPr="00D764C5">
        <w:t>Procedure for effecting coordination with or obtaining agreement of other administrations</w:t>
      </w:r>
      <w:r w:rsidRPr="00D764C5">
        <w:rPr>
          <w:rStyle w:val="FootnoteReference"/>
        </w:rPr>
        <w:t>1, 2, 3, 4, 5, 6, 7, 8,</w:t>
      </w:r>
      <w:r w:rsidRPr="00D764C5">
        <w:t xml:space="preserve"> </w:t>
      </w:r>
      <w:r w:rsidRPr="00D764C5">
        <w:rPr>
          <w:rStyle w:val="FootnoteReference"/>
        </w:rPr>
        <w:t>8</w:t>
      </w:r>
      <w:r w:rsidRPr="00D764C5">
        <w:rPr>
          <w:rStyle w:val="FootnoteReference"/>
          <w:i/>
          <w:iCs/>
        </w:rPr>
        <w:t>bis</w:t>
      </w:r>
      <w:r w:rsidRPr="00D764C5">
        <w:rPr>
          <w:b w:val="0"/>
          <w:bCs/>
          <w:sz w:val="16"/>
          <w:szCs w:val="16"/>
        </w:rPr>
        <w:t>    (WRC</w:t>
      </w:r>
      <w:r w:rsidRPr="00D764C5">
        <w:rPr>
          <w:b w:val="0"/>
          <w:bCs/>
          <w:sz w:val="16"/>
          <w:szCs w:val="16"/>
        </w:rPr>
        <w:noBreakHyphen/>
        <w:t>12)</w:t>
      </w:r>
      <w:bookmarkEnd w:id="9"/>
    </w:p>
    <w:p w:rsidR="002128EB" w:rsidRPr="00D764C5" w:rsidRDefault="00C131DF">
      <w:pPr>
        <w:pStyle w:val="Reasons"/>
      </w:pPr>
      <w:r w:rsidRPr="00D764C5">
        <w:rPr>
          <w:b/>
        </w:rPr>
        <w:t>Reasons:</w:t>
      </w:r>
      <w:bookmarkStart w:id="10" w:name="_GoBack"/>
      <w:bookmarkEnd w:id="10"/>
    </w:p>
    <w:p w:rsidR="00C131DF" w:rsidRPr="00D764C5" w:rsidRDefault="00C131DF" w:rsidP="00C131DF">
      <w:pPr>
        <w:pStyle w:val="Reasons"/>
      </w:pPr>
      <w:r w:rsidRPr="00D764C5">
        <w:t>1)</w:t>
      </w:r>
      <w:r w:rsidRPr="00D764C5">
        <w:tab/>
        <w:t>Regulatory provisions proposed here are aimed at facilitation of coordination in difficult cases related to compatibility of notified inhomogeneous satellite networks, and at efficiency of the frequency resource of the unique geostationary orbit. The effect of the two factors on the future development of satellite communications seems to be of far more importance than proposals for savings in correspondence efforts between the Bureau and administrations for international frequency coordination of submitted satellite networks.</w:t>
      </w:r>
    </w:p>
    <w:p w:rsidR="00C131DF" w:rsidRPr="00D764C5" w:rsidRDefault="00C131DF" w:rsidP="00C131DF">
      <w:pPr>
        <w:pStyle w:val="Reasons"/>
      </w:pPr>
      <w:r w:rsidRPr="00D764C5">
        <w:t>2)</w:t>
      </w:r>
      <w:r w:rsidRPr="00D764C5">
        <w:tab/>
        <w:t>To retain the existing criterion C/I for examination under RR No. 11.32A for frequency bands under consideration and also base the examination under RR Nos. 9.7 and 9.41 on the same C/I assessment.</w:t>
      </w:r>
    </w:p>
    <w:p w:rsidR="00C131DF" w:rsidRPr="00D764C5" w:rsidRDefault="00C131DF" w:rsidP="00C131DF">
      <w:pPr>
        <w:pStyle w:val="Reasons"/>
      </w:pPr>
      <w:r w:rsidRPr="00D764C5">
        <w:rPr>
          <w:szCs w:val="24"/>
        </w:rPr>
        <w:t>3)</w:t>
      </w:r>
      <w:r w:rsidRPr="00D764C5">
        <w:rPr>
          <w:szCs w:val="24"/>
        </w:rPr>
        <w:tab/>
        <w:t>This option would involve retention of RR Nos. 9.7, 9.41 and 11.32A essentially as today. However, the technical criteria associated with the various provisions would be modified as follows:</w:t>
      </w:r>
    </w:p>
    <w:p w:rsidR="00C131DF" w:rsidRPr="00D764C5" w:rsidRDefault="00C131DF" w:rsidP="00C131DF">
      <w:pPr>
        <w:pStyle w:val="ArtNo"/>
      </w:pPr>
      <w:bookmarkStart w:id="11" w:name="_Toc327956595"/>
      <w:r w:rsidRPr="00D764C5">
        <w:t xml:space="preserve">ARTICLE </w:t>
      </w:r>
      <w:r w:rsidRPr="00D764C5">
        <w:rPr>
          <w:rStyle w:val="href"/>
          <w:noProof/>
        </w:rPr>
        <w:t>11</w:t>
      </w:r>
      <w:bookmarkEnd w:id="11"/>
    </w:p>
    <w:p w:rsidR="00C131DF" w:rsidRPr="00D764C5" w:rsidRDefault="00C131DF" w:rsidP="00C131DF">
      <w:pPr>
        <w:pStyle w:val="Arttitle"/>
        <w:rPr>
          <w:sz w:val="16"/>
          <w:szCs w:val="16"/>
        </w:rPr>
      </w:pPr>
      <w:bookmarkStart w:id="12" w:name="_Toc327956596"/>
      <w:r w:rsidRPr="00D764C5">
        <w:t xml:space="preserve">Notification and recording of frequency </w:t>
      </w:r>
      <w:r w:rsidRPr="00D764C5">
        <w:br/>
        <w:t>assignments</w:t>
      </w:r>
      <w:r w:rsidRPr="00D764C5">
        <w:rPr>
          <w:rStyle w:val="FootnoteReference"/>
        </w:rPr>
        <w:t>1, 2, 3, 4, 5, 6, 7, 7</w:t>
      </w:r>
      <w:r w:rsidRPr="00D764C5">
        <w:rPr>
          <w:rStyle w:val="FootnoteReference"/>
          <w:i/>
          <w:iCs/>
        </w:rPr>
        <w:t>bis</w:t>
      </w:r>
      <w:r w:rsidRPr="00D764C5">
        <w:rPr>
          <w:b w:val="0"/>
          <w:bCs/>
          <w:sz w:val="16"/>
          <w:szCs w:val="16"/>
        </w:rPr>
        <w:t>    (WRC</w:t>
      </w:r>
      <w:r w:rsidRPr="00D764C5">
        <w:rPr>
          <w:b w:val="0"/>
          <w:bCs/>
          <w:sz w:val="16"/>
          <w:szCs w:val="16"/>
        </w:rPr>
        <w:noBreakHyphen/>
        <w:t>12)</w:t>
      </w:r>
      <w:bookmarkEnd w:id="12"/>
    </w:p>
    <w:p w:rsidR="00C131DF" w:rsidRPr="00D764C5" w:rsidRDefault="00C131DF" w:rsidP="00C131DF">
      <w:pPr>
        <w:pStyle w:val="Section1"/>
        <w:keepNext/>
      </w:pPr>
      <w:r w:rsidRPr="00D764C5">
        <w:t xml:space="preserve">Section II − Examination of notices and recording of frequency assignments </w:t>
      </w:r>
      <w:r w:rsidRPr="00D764C5">
        <w:br/>
        <w:t>in the Master Register</w:t>
      </w:r>
    </w:p>
    <w:p w:rsidR="002128EB" w:rsidRPr="00D764C5" w:rsidRDefault="00C131DF">
      <w:pPr>
        <w:pStyle w:val="Proposal"/>
      </w:pPr>
      <w:r w:rsidRPr="00D764C5">
        <w:t>MOD</w:t>
      </w:r>
      <w:r w:rsidRPr="00D764C5">
        <w:tab/>
        <w:t>AFCP/28A23A1A2/2</w:t>
      </w:r>
    </w:p>
    <w:p w:rsidR="00C131DF" w:rsidRPr="00D764C5" w:rsidRDefault="00C131DF" w:rsidP="00C131DF">
      <w:pPr>
        <w:pStyle w:val="enumlev1"/>
      </w:pPr>
      <w:r w:rsidRPr="00D764C5">
        <w:rPr>
          <w:rStyle w:val="Artdef"/>
        </w:rPr>
        <w:t>11.32A</w:t>
      </w:r>
      <w:r w:rsidRPr="00D764C5">
        <w:rPr>
          <w:rStyle w:val="Artdef"/>
        </w:rPr>
        <w:tab/>
      </w:r>
      <w:r w:rsidRPr="00D764C5">
        <w:rPr>
          <w:i/>
          <w:iCs/>
        </w:rPr>
        <w:t>c)</w:t>
      </w:r>
      <w:r w:rsidRPr="00D764C5">
        <w:tab/>
        <w:t>with respect to the probability of harmful interference that may be caused to or by assignments recorded with a favourable finding under Nos. </w:t>
      </w:r>
      <w:r w:rsidRPr="00D764C5">
        <w:rPr>
          <w:rStyle w:val="ApprefBold"/>
        </w:rPr>
        <w:t>11.36</w:t>
      </w:r>
      <w:r w:rsidRPr="00D764C5">
        <w:t xml:space="preserve"> and </w:t>
      </w:r>
      <w:r w:rsidRPr="00D764C5">
        <w:rPr>
          <w:rStyle w:val="ApprefBold"/>
        </w:rPr>
        <w:t>11.37</w:t>
      </w:r>
      <w:r w:rsidRPr="00D764C5">
        <w:t xml:space="preserve"> or </w:t>
      </w:r>
      <w:r w:rsidRPr="00D764C5">
        <w:rPr>
          <w:rStyle w:val="ApprefBold"/>
        </w:rPr>
        <w:t>11.38</w:t>
      </w:r>
      <w:r w:rsidRPr="00D764C5">
        <w:t>, or recorded in application of No. </w:t>
      </w:r>
      <w:r w:rsidRPr="00D764C5">
        <w:rPr>
          <w:rStyle w:val="ApprefBold"/>
        </w:rPr>
        <w:t>11.41</w:t>
      </w:r>
      <w:r w:rsidRPr="00D764C5">
        <w:t>, or published under Nos. </w:t>
      </w:r>
      <w:r w:rsidRPr="00D764C5">
        <w:rPr>
          <w:rStyle w:val="ApprefBold"/>
        </w:rPr>
        <w:t>9.38</w:t>
      </w:r>
      <w:r w:rsidRPr="00D764C5">
        <w:t xml:space="preserve"> or </w:t>
      </w:r>
      <w:r w:rsidRPr="00D764C5">
        <w:rPr>
          <w:rStyle w:val="ApprefBold"/>
        </w:rPr>
        <w:t>9.58</w:t>
      </w:r>
      <w:r w:rsidRPr="00D764C5">
        <w:t xml:space="preserve"> but not yet notified, as appropriate, for those cases for which the notifying administration states that the procedure for coordination under Nos. </w:t>
      </w:r>
      <w:r w:rsidRPr="00D764C5">
        <w:rPr>
          <w:rStyle w:val="ApprefBold"/>
        </w:rPr>
        <w:t>9.7</w:t>
      </w:r>
      <w:r w:rsidRPr="00D764C5">
        <w:t xml:space="preserve">, </w:t>
      </w:r>
      <w:r w:rsidRPr="00D764C5">
        <w:rPr>
          <w:rStyle w:val="ApprefBold"/>
        </w:rPr>
        <w:t>9.7A</w:t>
      </w:r>
      <w:r w:rsidRPr="00D764C5">
        <w:t xml:space="preserve">, </w:t>
      </w:r>
      <w:r w:rsidRPr="00D764C5">
        <w:rPr>
          <w:rStyle w:val="ApprefBold"/>
        </w:rPr>
        <w:t>9.7B</w:t>
      </w:r>
      <w:r w:rsidRPr="00D764C5">
        <w:t xml:space="preserve">, </w:t>
      </w:r>
      <w:r w:rsidRPr="00D764C5">
        <w:rPr>
          <w:rStyle w:val="ApprefBold"/>
        </w:rPr>
        <w:t>9.11</w:t>
      </w:r>
      <w:r w:rsidRPr="00D764C5">
        <w:t xml:space="preserve">, </w:t>
      </w:r>
      <w:r w:rsidRPr="00D764C5">
        <w:rPr>
          <w:rStyle w:val="ApprefBold"/>
        </w:rPr>
        <w:t>9.12</w:t>
      </w:r>
      <w:r w:rsidRPr="00D764C5">
        <w:t xml:space="preserve">, </w:t>
      </w:r>
      <w:r w:rsidRPr="00D764C5">
        <w:rPr>
          <w:rStyle w:val="ApprefBold"/>
        </w:rPr>
        <w:t>9.12A</w:t>
      </w:r>
      <w:r w:rsidRPr="00D764C5">
        <w:t xml:space="preserve">, </w:t>
      </w:r>
      <w:r w:rsidRPr="00D764C5">
        <w:rPr>
          <w:rStyle w:val="ApprefBold"/>
        </w:rPr>
        <w:t>9.13</w:t>
      </w:r>
      <w:r w:rsidRPr="00D764C5">
        <w:t xml:space="preserve"> or </w:t>
      </w:r>
      <w:r w:rsidRPr="00D764C5">
        <w:rPr>
          <w:rStyle w:val="ApprefBold"/>
        </w:rPr>
        <w:t>9.14</w:t>
      </w:r>
      <w:r w:rsidRPr="00D764C5">
        <w:t>, could not be successfully completed (see also No. </w:t>
      </w:r>
      <w:r w:rsidRPr="00D764C5">
        <w:rPr>
          <w:rStyle w:val="ApprefBold"/>
        </w:rPr>
        <w:t>9.65</w:t>
      </w:r>
      <w:r w:rsidRPr="00D764C5">
        <w:t>);</w:t>
      </w:r>
      <w:r w:rsidRPr="00D764C5">
        <w:rPr>
          <w:rStyle w:val="FootnoteReference"/>
        </w:rPr>
        <w:t>14</w:t>
      </w:r>
      <w:ins w:id="13" w:author="Hourican, Maria" w:date="2015-03-11T13:48:00Z">
        <w:r w:rsidRPr="00D764C5">
          <w:rPr>
            <w:rStyle w:val="FootnoteReference"/>
          </w:rPr>
          <w:t>, 14</w:t>
        </w:r>
        <w:r w:rsidRPr="00D764C5">
          <w:rPr>
            <w:rStyle w:val="FootnoteReference"/>
            <w:rPrChange w:id="14" w:author="Hourican, Maria" w:date="2015-03-11T13:48:00Z">
              <w:rPr>
                <w:i/>
                <w:iCs/>
              </w:rPr>
            </w:rPrChange>
          </w:rPr>
          <w:t>bis</w:t>
        </w:r>
      </w:ins>
      <w:r w:rsidRPr="00D764C5">
        <w:t xml:space="preserve"> or</w:t>
      </w:r>
      <w:r w:rsidRPr="00D764C5">
        <w:rPr>
          <w:sz w:val="16"/>
          <w:szCs w:val="16"/>
        </w:rPr>
        <w:t>     (WRC</w:t>
      </w:r>
      <w:r w:rsidRPr="00D764C5">
        <w:rPr>
          <w:sz w:val="16"/>
          <w:szCs w:val="16"/>
        </w:rPr>
        <w:noBreakHyphen/>
      </w:r>
      <w:del w:id="15" w:author="Turnbull, Karen" w:date="2015-09-23T12:21:00Z">
        <w:r w:rsidRPr="00D764C5" w:rsidDel="00C131DF">
          <w:rPr>
            <w:sz w:val="16"/>
            <w:szCs w:val="16"/>
          </w:rPr>
          <w:delText>2000</w:delText>
        </w:r>
      </w:del>
      <w:ins w:id="16" w:author="Turnbull, Karen" w:date="2015-09-23T12:21:00Z">
        <w:r w:rsidRPr="00D764C5">
          <w:rPr>
            <w:sz w:val="16"/>
            <w:szCs w:val="16"/>
          </w:rPr>
          <w:t>15</w:t>
        </w:r>
      </w:ins>
      <w:r w:rsidRPr="00D764C5">
        <w:rPr>
          <w:sz w:val="16"/>
          <w:szCs w:val="16"/>
        </w:rPr>
        <w:t>)</w:t>
      </w:r>
    </w:p>
    <w:p w:rsidR="002128EB" w:rsidRPr="00D764C5" w:rsidRDefault="002128EB">
      <w:pPr>
        <w:pStyle w:val="Reasons"/>
      </w:pPr>
    </w:p>
    <w:p w:rsidR="002128EB" w:rsidRPr="00D764C5" w:rsidRDefault="00C131DF">
      <w:pPr>
        <w:pStyle w:val="Proposal"/>
      </w:pPr>
      <w:r w:rsidRPr="00D764C5">
        <w:rPr>
          <w:u w:val="single"/>
        </w:rPr>
        <w:t>NOC</w:t>
      </w:r>
      <w:r w:rsidRPr="00D764C5">
        <w:tab/>
        <w:t>AFCP/28A23A1A2/3</w:t>
      </w:r>
    </w:p>
    <w:p w:rsidR="00C131DF" w:rsidRPr="00D764C5" w:rsidRDefault="00C131DF" w:rsidP="00C131DF">
      <w:pPr>
        <w:keepNext/>
      </w:pPr>
      <w:r w:rsidRPr="00D764C5">
        <w:t>_______________</w:t>
      </w:r>
    </w:p>
    <w:p w:rsidR="00C131DF" w:rsidRPr="00D764C5" w:rsidRDefault="00C131DF" w:rsidP="00C131DF">
      <w:pPr>
        <w:pStyle w:val="FootnoteText"/>
        <w:tabs>
          <w:tab w:val="clear" w:pos="1871"/>
          <w:tab w:val="left" w:pos="1276"/>
        </w:tabs>
      </w:pPr>
      <w:r w:rsidRPr="00D764C5">
        <w:rPr>
          <w:rStyle w:val="FootnoteReference"/>
        </w:rPr>
        <w:t>14</w:t>
      </w:r>
      <w:r w:rsidRPr="00D764C5">
        <w:t xml:space="preserve"> </w:t>
      </w:r>
      <w:r w:rsidRPr="00D764C5">
        <w:tab/>
      </w:r>
      <w:r w:rsidRPr="00D764C5">
        <w:rPr>
          <w:rStyle w:val="Artdef"/>
        </w:rPr>
        <w:t>11.32A.1</w:t>
      </w:r>
      <w:r w:rsidRPr="00D764C5">
        <w:tab/>
        <w:t>The examination of such notices with respect to any other frequency assignment for which a request for coordination under Nos. </w:t>
      </w:r>
      <w:r w:rsidRPr="00D764C5">
        <w:rPr>
          <w:rStyle w:val="Artref"/>
          <w:b/>
          <w:bCs/>
        </w:rPr>
        <w:t>9.7</w:t>
      </w:r>
      <w:r w:rsidRPr="00D764C5">
        <w:t xml:space="preserve">, </w:t>
      </w:r>
      <w:r w:rsidRPr="00D764C5">
        <w:rPr>
          <w:rStyle w:val="Artref"/>
          <w:b/>
          <w:bCs/>
        </w:rPr>
        <w:t>9.7A</w:t>
      </w:r>
      <w:r w:rsidRPr="00D764C5">
        <w:t xml:space="preserve">, </w:t>
      </w:r>
      <w:r w:rsidRPr="00D764C5">
        <w:rPr>
          <w:rStyle w:val="Artref"/>
          <w:b/>
          <w:bCs/>
        </w:rPr>
        <w:t>9.7B</w:t>
      </w:r>
      <w:r w:rsidRPr="00D764C5">
        <w:t xml:space="preserve">, </w:t>
      </w:r>
      <w:r w:rsidRPr="00D764C5">
        <w:rPr>
          <w:rStyle w:val="Artref"/>
          <w:b/>
          <w:bCs/>
        </w:rPr>
        <w:t>9.12</w:t>
      </w:r>
      <w:r w:rsidRPr="00D764C5">
        <w:t xml:space="preserve">, </w:t>
      </w:r>
      <w:r w:rsidRPr="00D764C5">
        <w:rPr>
          <w:rStyle w:val="Artref"/>
          <w:b/>
          <w:bCs/>
        </w:rPr>
        <w:t>9.12A</w:t>
      </w:r>
      <w:r w:rsidRPr="00D764C5">
        <w:t xml:space="preserve"> or </w:t>
      </w:r>
      <w:r w:rsidRPr="00D764C5">
        <w:rPr>
          <w:rStyle w:val="Artref"/>
          <w:b/>
          <w:bCs/>
        </w:rPr>
        <w:t>9.13</w:t>
      </w:r>
      <w:r w:rsidRPr="00D764C5">
        <w:t>, as appropriate, has been published under No. </w:t>
      </w:r>
      <w:r w:rsidRPr="00D764C5">
        <w:rPr>
          <w:rStyle w:val="Artref"/>
          <w:b/>
          <w:bCs/>
        </w:rPr>
        <w:t>9.38</w:t>
      </w:r>
      <w:r w:rsidRPr="00D764C5">
        <w:t xml:space="preserve"> but not yet notified shall be effected by the Bureau in the order of their publication under the same number using the most recent information available.</w:t>
      </w:r>
      <w:r w:rsidRPr="00D764C5">
        <w:rPr>
          <w:sz w:val="16"/>
        </w:rPr>
        <w:t>     (WRC</w:t>
      </w:r>
      <w:r w:rsidRPr="00D764C5">
        <w:rPr>
          <w:sz w:val="16"/>
        </w:rPr>
        <w:noBreakHyphen/>
        <w:t>2000)</w:t>
      </w:r>
    </w:p>
    <w:p w:rsidR="002128EB" w:rsidRPr="00D764C5" w:rsidRDefault="002128EB">
      <w:pPr>
        <w:pStyle w:val="Reasons"/>
      </w:pPr>
    </w:p>
    <w:p w:rsidR="002128EB" w:rsidRPr="00D764C5" w:rsidRDefault="00C131DF">
      <w:pPr>
        <w:pStyle w:val="Proposal"/>
      </w:pPr>
      <w:r w:rsidRPr="00D764C5">
        <w:t>ADD</w:t>
      </w:r>
      <w:r w:rsidRPr="00D764C5">
        <w:tab/>
        <w:t>AFCP/28A23A1A2/4</w:t>
      </w:r>
    </w:p>
    <w:p w:rsidR="00C131DF" w:rsidRPr="00D764C5" w:rsidRDefault="00C131DF" w:rsidP="00C131DF">
      <w:pPr>
        <w:keepNext/>
      </w:pPr>
      <w:r w:rsidRPr="00D764C5">
        <w:t>_______________</w:t>
      </w:r>
    </w:p>
    <w:p w:rsidR="002128EB" w:rsidRPr="00D764C5" w:rsidRDefault="00C131DF" w:rsidP="00C131DF">
      <w:pPr>
        <w:pStyle w:val="FootnoteText"/>
      </w:pPr>
      <w:r w:rsidRPr="00D764C5">
        <w:rPr>
          <w:rStyle w:val="FootnoteReference"/>
          <w:szCs w:val="24"/>
        </w:rPr>
        <w:t>14</w:t>
      </w:r>
      <w:r w:rsidRPr="00D764C5">
        <w:rPr>
          <w:rStyle w:val="FootnoteReference"/>
          <w:i/>
          <w:iCs/>
          <w:szCs w:val="24"/>
        </w:rPr>
        <w:t>bis</w:t>
      </w:r>
      <w:r w:rsidRPr="00D764C5">
        <w:rPr>
          <w:rStyle w:val="FootnoteReference"/>
          <w:szCs w:val="24"/>
        </w:rPr>
        <w:t xml:space="preserve"> </w:t>
      </w:r>
      <w:r w:rsidRPr="00D764C5">
        <w:t xml:space="preserve"> </w:t>
      </w:r>
      <w:r w:rsidRPr="00D764C5">
        <w:rPr>
          <w:rStyle w:val="Artdef"/>
        </w:rPr>
        <w:t>11.32A.2</w:t>
      </w:r>
      <w:r w:rsidRPr="00D764C5">
        <w:tab/>
      </w:r>
      <w:r w:rsidRPr="00D764C5">
        <w:rPr>
          <w:lang w:eastAsia="ru-RU"/>
        </w:rPr>
        <w:t xml:space="preserve">The criteria to determine the probability of harmful interference and the criteria for the formulation of the findings of the Bureau </w:t>
      </w:r>
      <w:r w:rsidRPr="00D764C5">
        <w:t>in respect of assignments in the frequency bands identified in 1) and 2) in Table </w:t>
      </w:r>
      <w:r w:rsidRPr="00D764C5">
        <w:rPr>
          <w:rStyle w:val="ApprefBold"/>
          <w:szCs w:val="24"/>
        </w:rPr>
        <w:t>5</w:t>
      </w:r>
      <w:r w:rsidRPr="00D764C5">
        <w:rPr>
          <w:rStyle w:val="ApprefBold"/>
          <w:szCs w:val="24"/>
        </w:rPr>
        <w:noBreakHyphen/>
        <w:t xml:space="preserve">1 </w:t>
      </w:r>
      <w:r w:rsidRPr="00D764C5">
        <w:t>of Appendix</w:t>
      </w:r>
      <w:r w:rsidRPr="00D764C5">
        <w:rPr>
          <w:rStyle w:val="ApprefBold"/>
          <w:szCs w:val="24"/>
        </w:rPr>
        <w:t xml:space="preserve"> 5 </w:t>
      </w:r>
      <w:r w:rsidRPr="00D764C5">
        <w:t>of these regulations</w:t>
      </w:r>
      <w:r w:rsidRPr="00D764C5">
        <w:rPr>
          <w:b/>
          <w:bCs/>
          <w:lang w:eastAsia="ru-RU"/>
        </w:rPr>
        <w:t xml:space="preserve"> </w:t>
      </w:r>
      <w:r w:rsidRPr="00D764C5">
        <w:rPr>
          <w:lang w:eastAsia="ru-RU"/>
        </w:rPr>
        <w:t>are contained in</w:t>
      </w:r>
      <w:r w:rsidRPr="00D764C5">
        <w:rPr>
          <w:bCs/>
          <w:lang w:eastAsia="ru-RU"/>
        </w:rPr>
        <w:t xml:space="preserve"> Resolution </w:t>
      </w:r>
      <w:r w:rsidRPr="00D764C5">
        <w:rPr>
          <w:b/>
          <w:lang w:eastAsia="ru-RU"/>
        </w:rPr>
        <w:t>[AFCP-A912] (WRC</w:t>
      </w:r>
      <w:r w:rsidRPr="00D764C5">
        <w:rPr>
          <w:b/>
          <w:lang w:eastAsia="ru-RU"/>
        </w:rPr>
        <w:noBreakHyphen/>
        <w:t>15)</w:t>
      </w:r>
      <w:r w:rsidRPr="00D764C5">
        <w:rPr>
          <w:lang w:eastAsia="ru-RU"/>
        </w:rPr>
        <w:t>.</w:t>
      </w:r>
      <w:r w:rsidRPr="00D764C5">
        <w:rPr>
          <w:sz w:val="16"/>
          <w:szCs w:val="16"/>
          <w:lang w:eastAsia="ru-RU"/>
        </w:rPr>
        <w:t>     (WRC</w:t>
      </w:r>
      <w:r w:rsidRPr="00D764C5">
        <w:rPr>
          <w:sz w:val="16"/>
          <w:szCs w:val="16"/>
          <w:lang w:eastAsia="ru-RU"/>
        </w:rPr>
        <w:noBreakHyphen/>
        <w:t>15)</w:t>
      </w:r>
    </w:p>
    <w:p w:rsidR="002128EB" w:rsidRPr="00D764C5" w:rsidRDefault="002128EB">
      <w:pPr>
        <w:pStyle w:val="Reasons"/>
      </w:pPr>
    </w:p>
    <w:p w:rsidR="00C131DF" w:rsidRPr="00D764C5" w:rsidRDefault="00C131DF" w:rsidP="00C131DF">
      <w:pPr>
        <w:pStyle w:val="AppendixNo"/>
        <w:keepNext w:val="0"/>
        <w:keepLines w:val="0"/>
      </w:pPr>
      <w:r w:rsidRPr="00D764C5">
        <w:t xml:space="preserve">APPENDIX </w:t>
      </w:r>
      <w:r w:rsidRPr="00D764C5">
        <w:rPr>
          <w:rStyle w:val="href"/>
        </w:rPr>
        <w:t>5</w:t>
      </w:r>
      <w:r w:rsidRPr="00D764C5">
        <w:t xml:space="preserve"> (REV.WRC</w:t>
      </w:r>
      <w:r w:rsidRPr="00D764C5">
        <w:noBreakHyphen/>
        <w:t>12)</w:t>
      </w:r>
    </w:p>
    <w:p w:rsidR="00C131DF" w:rsidRPr="00D764C5" w:rsidRDefault="00C131DF" w:rsidP="00C131DF">
      <w:pPr>
        <w:pStyle w:val="Appendixtitle"/>
        <w:keepNext w:val="0"/>
        <w:keepLines w:val="0"/>
      </w:pPr>
      <w:r w:rsidRPr="00D764C5">
        <w:t>Identification of administrations with which coordination is to be effected or</w:t>
      </w:r>
      <w:r w:rsidRPr="00D764C5">
        <w:br/>
        <w:t>agreement sought under the provisions of Article 9</w:t>
      </w:r>
    </w:p>
    <w:p w:rsidR="002128EB" w:rsidRPr="00D764C5" w:rsidRDefault="00C131DF">
      <w:pPr>
        <w:pStyle w:val="Proposal"/>
      </w:pPr>
      <w:r w:rsidRPr="00D764C5">
        <w:rPr>
          <w:u w:val="single"/>
        </w:rPr>
        <w:t>NOC</w:t>
      </w:r>
      <w:r w:rsidRPr="00D764C5">
        <w:tab/>
        <w:t>AFCP/28A23A1A2/5</w:t>
      </w:r>
    </w:p>
    <w:p w:rsidR="00C131DF" w:rsidRPr="00D764C5" w:rsidRDefault="00C131DF" w:rsidP="00C131DF">
      <w:pPr>
        <w:pStyle w:val="TableNo"/>
      </w:pPr>
      <w:r w:rsidRPr="00D764C5">
        <w:t>TABLE 5-1</w:t>
      </w:r>
      <w:r w:rsidRPr="00D764C5">
        <w:rPr>
          <w:sz w:val="16"/>
          <w:szCs w:val="16"/>
        </w:rPr>
        <w:t>     (</w:t>
      </w:r>
      <w:r w:rsidRPr="00D764C5">
        <w:rPr>
          <w:caps w:val="0"/>
          <w:sz w:val="16"/>
          <w:szCs w:val="16"/>
        </w:rPr>
        <w:t>Rev</w:t>
      </w:r>
      <w:r w:rsidRPr="00D764C5">
        <w:rPr>
          <w:sz w:val="16"/>
          <w:szCs w:val="16"/>
        </w:rPr>
        <w:t>.WRC</w:t>
      </w:r>
      <w:r w:rsidRPr="00D764C5">
        <w:rPr>
          <w:sz w:val="16"/>
          <w:szCs w:val="16"/>
        </w:rPr>
        <w:noBreakHyphen/>
        <w:t>12)</w:t>
      </w:r>
    </w:p>
    <w:p w:rsidR="00C131DF" w:rsidRPr="00D764C5" w:rsidRDefault="00C131DF" w:rsidP="00C131DF">
      <w:pPr>
        <w:pStyle w:val="Tabletitle"/>
        <w:spacing w:after="0"/>
      </w:pPr>
      <w:r w:rsidRPr="00D764C5">
        <w:t>Technical conditions for coordination</w:t>
      </w:r>
    </w:p>
    <w:p w:rsidR="00C131DF" w:rsidRPr="00D764C5" w:rsidRDefault="00C131DF" w:rsidP="00C131DF">
      <w:pPr>
        <w:pStyle w:val="Tabletitle"/>
      </w:pPr>
      <w:r w:rsidRPr="00D764C5">
        <w:rPr>
          <w:rFonts w:ascii="Times New Roman"/>
          <w:b w:val="0"/>
        </w:rPr>
        <w:t>(see Article</w:t>
      </w:r>
      <w:r w:rsidRPr="00D764C5">
        <w:rPr>
          <w:rFonts w:ascii="Times New Roman"/>
          <w:b w:val="0"/>
        </w:rPr>
        <w:t> </w:t>
      </w:r>
      <w:r w:rsidRPr="00D764C5">
        <w:rPr>
          <w:bCs/>
        </w:rPr>
        <w:t>9</w:t>
      </w:r>
      <w:r w:rsidRPr="00D764C5">
        <w:rPr>
          <w:rFonts w:ascii="Times New Roman"/>
          <w:b w:val="0"/>
        </w:rPr>
        <w:t>)</w:t>
      </w:r>
    </w:p>
    <w:p w:rsidR="002128EB" w:rsidRPr="00D764C5" w:rsidRDefault="002128EB">
      <w:pPr>
        <w:pStyle w:val="Reasons"/>
      </w:pPr>
    </w:p>
    <w:p w:rsidR="00C131DF" w:rsidRPr="00D764C5" w:rsidRDefault="00C131DF" w:rsidP="00C131DF">
      <w:pPr>
        <w:pStyle w:val="Note"/>
      </w:pPr>
      <w:r w:rsidRPr="00D764C5">
        <w:rPr>
          <w:bCs/>
        </w:rPr>
        <w:t xml:space="preserve">NOTE – </w:t>
      </w:r>
      <w:r w:rsidRPr="00D764C5">
        <w:t xml:space="preserve">Depending upon decisions of WRC-15 in respect of </w:t>
      </w:r>
      <w:r w:rsidRPr="00D764C5">
        <w:rPr>
          <w:i/>
        </w:rPr>
        <w:t>resolves</w:t>
      </w:r>
      <w:r w:rsidRPr="00D764C5">
        <w:t xml:space="preserve"> 2 of Resolution </w:t>
      </w:r>
      <w:r w:rsidRPr="00D764C5">
        <w:rPr>
          <w:bCs/>
        </w:rPr>
        <w:t>756 (WRC</w:t>
      </w:r>
      <w:r w:rsidRPr="00D764C5">
        <w:rPr>
          <w:bCs/>
        </w:rPr>
        <w:noBreakHyphen/>
        <w:t>12)</w:t>
      </w:r>
      <w:r w:rsidRPr="00D764C5">
        <w:t>, the numerical values for the size of the coordination arc in one or more of the listed frequency bands of Table 5-1 may change. This option is neutral in respect of the size of the coordination arc and decisions on the size of the coordination arc will not lead to a need for consequential changes in respect of this option or vice-versa.</w:t>
      </w:r>
    </w:p>
    <w:p w:rsidR="002128EB" w:rsidRPr="00D764C5" w:rsidRDefault="00C131DF">
      <w:pPr>
        <w:pStyle w:val="Proposal"/>
      </w:pPr>
      <w:r w:rsidRPr="00D764C5">
        <w:t>ADD</w:t>
      </w:r>
      <w:r w:rsidRPr="00D764C5">
        <w:tab/>
        <w:t>AFCP/28A23A1A2/6</w:t>
      </w:r>
    </w:p>
    <w:p w:rsidR="002128EB" w:rsidRPr="00D764C5" w:rsidRDefault="00C131DF">
      <w:pPr>
        <w:pStyle w:val="ResNo"/>
      </w:pPr>
      <w:r w:rsidRPr="00D764C5">
        <w:t>Draft New Resolution [AFCP-A912] (WRC</w:t>
      </w:r>
      <w:r w:rsidRPr="00D764C5">
        <w:noBreakHyphen/>
        <w:t>15)</w:t>
      </w:r>
    </w:p>
    <w:p w:rsidR="00C131DF" w:rsidRPr="00D764C5" w:rsidRDefault="00C131DF" w:rsidP="00C131DF">
      <w:pPr>
        <w:pStyle w:val="Restitle"/>
      </w:pPr>
      <w:r w:rsidRPr="00D764C5">
        <w:t>Application of pfd criteria to assess the potential for harmful interference under No. 11.32A for fixed-satellite and broadcasting-satellite service networks in the 4/6 GHz and 10/11/12/14 GHz bands not subject to a Plan</w:t>
      </w:r>
    </w:p>
    <w:p w:rsidR="00C131DF" w:rsidRPr="00D764C5" w:rsidRDefault="00C131DF" w:rsidP="00D764C5">
      <w:pPr>
        <w:pStyle w:val="Normalaftertitle"/>
      </w:pPr>
      <w:r w:rsidRPr="00D764C5">
        <w:t>The World Radiocommunication Conference (Geneva, 2015),</w:t>
      </w:r>
    </w:p>
    <w:p w:rsidR="00C131DF" w:rsidRPr="00D764C5" w:rsidRDefault="00C131DF" w:rsidP="00D764C5">
      <w:pPr>
        <w:pStyle w:val="Call"/>
      </w:pPr>
      <w:r w:rsidRPr="00D764C5">
        <w:t>considering</w:t>
      </w:r>
    </w:p>
    <w:p w:rsidR="00C131DF" w:rsidRPr="00D764C5" w:rsidRDefault="00C131DF" w:rsidP="00D764C5">
      <w:pPr>
        <w:rPr>
          <w:rFonts w:eastAsiaTheme="minorEastAsia"/>
          <w:lang w:eastAsia="nb-NO"/>
        </w:rPr>
      </w:pPr>
      <w:r w:rsidRPr="00D764C5">
        <w:rPr>
          <w:rFonts w:eastAsiaTheme="minorEastAsia"/>
          <w:i/>
          <w:iCs/>
          <w:lang w:eastAsia="nb-NO"/>
        </w:rPr>
        <w:t>a)</w:t>
      </w:r>
      <w:r w:rsidRPr="00D764C5">
        <w:rPr>
          <w:rFonts w:eastAsiaTheme="minorEastAsia"/>
          <w:lang w:eastAsia="nb-NO"/>
        </w:rPr>
        <w:tab/>
        <w:t xml:space="preserve">that the 4/6 GHz and 10/11/12/14 GHz </w:t>
      </w:r>
      <w:r w:rsidRPr="00D764C5">
        <w:t>frequency ranges</w:t>
      </w:r>
      <w:r w:rsidRPr="00D764C5">
        <w:rPr>
          <w:rFonts w:eastAsiaTheme="minorEastAsia"/>
          <w:lang w:eastAsia="nb-NO"/>
        </w:rPr>
        <w:t>, not subject to a Plan, are extensively used with operational satellites about every 2-3° around the geostationary arc;</w:t>
      </w:r>
    </w:p>
    <w:p w:rsidR="00C131DF" w:rsidRPr="00D764C5" w:rsidRDefault="00C131DF" w:rsidP="00D764C5">
      <w:pPr>
        <w:rPr>
          <w:rFonts w:eastAsiaTheme="minorEastAsia"/>
          <w:lang w:eastAsia="nb-NO"/>
        </w:rPr>
      </w:pPr>
      <w:r w:rsidRPr="00D764C5">
        <w:rPr>
          <w:rFonts w:eastAsiaTheme="minorEastAsia"/>
          <w:i/>
          <w:iCs/>
          <w:lang w:eastAsia="nb-NO"/>
        </w:rPr>
        <w:t>b)</w:t>
      </w:r>
      <w:r w:rsidRPr="00D764C5">
        <w:rPr>
          <w:rFonts w:eastAsiaTheme="minorEastAsia"/>
          <w:lang w:eastAsia="nb-NO"/>
        </w:rPr>
        <w:tab/>
        <w:t>that there currently are a very large number of satellite networks submitted to ITU</w:t>
      </w:r>
      <w:r w:rsidRPr="00D764C5">
        <w:rPr>
          <w:rFonts w:eastAsiaTheme="minorEastAsia"/>
          <w:lang w:eastAsia="nb-NO"/>
        </w:rPr>
        <w:noBreakHyphen/>
        <w:t>R for these frequency bands;</w:t>
      </w:r>
    </w:p>
    <w:p w:rsidR="00C131DF" w:rsidRPr="00D764C5" w:rsidRDefault="00C131DF" w:rsidP="00D764C5">
      <w:pPr>
        <w:rPr>
          <w:rFonts w:eastAsiaTheme="minorEastAsia"/>
          <w:lang w:eastAsia="nb-NO"/>
        </w:rPr>
      </w:pPr>
      <w:r w:rsidRPr="00D764C5">
        <w:rPr>
          <w:rFonts w:eastAsiaTheme="minorEastAsia"/>
          <w:i/>
          <w:iCs/>
          <w:lang w:eastAsia="nb-NO"/>
        </w:rPr>
        <w:t>c)</w:t>
      </w:r>
      <w:r w:rsidRPr="00D764C5">
        <w:rPr>
          <w:rFonts w:eastAsiaTheme="minorEastAsia"/>
          <w:lang w:eastAsia="nb-NO"/>
        </w:rPr>
        <w:tab/>
        <w:t>that these above factors have led to significant difficulties for administrations to introduce new satellite networks;</w:t>
      </w:r>
    </w:p>
    <w:p w:rsidR="00C131DF" w:rsidRPr="00D764C5" w:rsidRDefault="00C131DF" w:rsidP="00D764C5">
      <w:pPr>
        <w:rPr>
          <w:rFonts w:eastAsiaTheme="minorEastAsia"/>
          <w:lang w:eastAsia="nb-NO"/>
        </w:rPr>
      </w:pPr>
      <w:r w:rsidRPr="00D764C5">
        <w:rPr>
          <w:rFonts w:eastAsiaTheme="minorEastAsia"/>
          <w:i/>
          <w:iCs/>
          <w:lang w:eastAsia="nb-NO"/>
        </w:rPr>
        <w:t>d)</w:t>
      </w:r>
      <w:r w:rsidRPr="00D764C5">
        <w:rPr>
          <w:rFonts w:eastAsiaTheme="minorEastAsia"/>
          <w:lang w:eastAsia="nb-NO"/>
        </w:rPr>
        <w:tab/>
        <w:t>that more precise criteria to assess the probability of harmful interference under No. </w:t>
      </w:r>
      <w:r w:rsidRPr="00D764C5">
        <w:rPr>
          <w:rFonts w:eastAsiaTheme="minorEastAsia"/>
          <w:b/>
          <w:lang w:eastAsia="nb-NO"/>
        </w:rPr>
        <w:t>11.32A</w:t>
      </w:r>
      <w:r w:rsidRPr="00D764C5">
        <w:rPr>
          <w:rFonts w:eastAsiaTheme="minorEastAsia"/>
          <w:lang w:eastAsia="nb-NO"/>
        </w:rPr>
        <w:t xml:space="preserve"> have the potential to reduce undue protection requirements for assignments in respect of incoming assignments;</w:t>
      </w:r>
    </w:p>
    <w:p w:rsidR="00C131DF" w:rsidRPr="00D764C5" w:rsidRDefault="00C131DF" w:rsidP="00D764C5">
      <w:pPr>
        <w:rPr>
          <w:rFonts w:eastAsiaTheme="minorEastAsia"/>
          <w:lang w:eastAsia="nb-NO"/>
        </w:rPr>
      </w:pPr>
      <w:r w:rsidRPr="00D764C5">
        <w:rPr>
          <w:rFonts w:eastAsiaTheme="minorEastAsia"/>
          <w:i/>
          <w:lang w:eastAsia="nb-NO"/>
        </w:rPr>
        <w:t>e)</w:t>
      </w:r>
      <w:r w:rsidRPr="00D764C5">
        <w:rPr>
          <w:rFonts w:eastAsiaTheme="minorEastAsia"/>
          <w:lang w:eastAsia="nb-NO"/>
        </w:rPr>
        <w:tab/>
        <w:t>that reduction of undue protection requirements will facilitate coordination of submissions of new networks;</w:t>
      </w:r>
    </w:p>
    <w:p w:rsidR="00C131DF" w:rsidRPr="00D764C5" w:rsidRDefault="00C131DF" w:rsidP="00D764C5">
      <w:pPr>
        <w:rPr>
          <w:rFonts w:eastAsiaTheme="minorEastAsia"/>
          <w:lang w:eastAsia="nb-NO"/>
        </w:rPr>
      </w:pPr>
      <w:r w:rsidRPr="00D764C5">
        <w:rPr>
          <w:rFonts w:eastAsiaTheme="minorEastAsia"/>
          <w:i/>
          <w:iCs/>
          <w:lang w:eastAsia="nb-NO"/>
        </w:rPr>
        <w:t>f)</w:t>
      </w:r>
      <w:r w:rsidRPr="00D764C5">
        <w:rPr>
          <w:rFonts w:eastAsiaTheme="minorEastAsia"/>
          <w:lang w:eastAsia="nb-NO"/>
        </w:rPr>
        <w:tab/>
        <w:t xml:space="preserve">that due to the congestion in these frequency bands and due to the maturity of the technology and applications in these </w:t>
      </w:r>
      <w:r w:rsidRPr="00D764C5">
        <w:t xml:space="preserve">frequency </w:t>
      </w:r>
      <w:r w:rsidRPr="00D764C5">
        <w:rPr>
          <w:rFonts w:eastAsiaTheme="minorEastAsia"/>
          <w:lang w:eastAsia="nb-NO"/>
        </w:rPr>
        <w:t>bands, practical satellite implementations are seen to in practice use relatively homogeneous technical parameters;</w:t>
      </w:r>
    </w:p>
    <w:p w:rsidR="00C131DF" w:rsidRPr="00D764C5" w:rsidRDefault="00C131DF" w:rsidP="00D764C5">
      <w:pPr>
        <w:rPr>
          <w:rFonts w:eastAsiaTheme="minorEastAsia"/>
          <w:lang w:eastAsia="nb-NO"/>
        </w:rPr>
      </w:pPr>
      <w:r w:rsidRPr="00D764C5">
        <w:rPr>
          <w:rFonts w:eastAsiaTheme="minorEastAsia"/>
          <w:i/>
          <w:iCs/>
          <w:lang w:eastAsia="nb-NO"/>
        </w:rPr>
        <w:t>g)</w:t>
      </w:r>
      <w:r w:rsidRPr="00D764C5">
        <w:rPr>
          <w:rFonts w:eastAsiaTheme="minorEastAsia"/>
          <w:lang w:eastAsia="nb-NO"/>
        </w:rPr>
        <w:tab/>
        <w:t>that use of more homogeneous technical parameters will facilitate efficient spectrum usage and support introduction of new networks;</w:t>
      </w:r>
    </w:p>
    <w:p w:rsidR="00C131DF" w:rsidRPr="00D764C5" w:rsidRDefault="00C131DF" w:rsidP="00D764C5">
      <w:pPr>
        <w:rPr>
          <w:rFonts w:eastAsiaTheme="minorEastAsia"/>
          <w:lang w:eastAsia="nb-NO"/>
        </w:rPr>
      </w:pPr>
      <w:r w:rsidRPr="00D764C5">
        <w:rPr>
          <w:rFonts w:eastAsiaTheme="minorEastAsia"/>
          <w:i/>
          <w:iCs/>
          <w:lang w:eastAsia="nb-NO"/>
        </w:rPr>
        <w:t>h)</w:t>
      </w:r>
      <w:r w:rsidRPr="00D764C5">
        <w:rPr>
          <w:rFonts w:eastAsiaTheme="minorEastAsia"/>
          <w:lang w:eastAsia="nb-NO"/>
        </w:rPr>
        <w:tab/>
        <w:t>that the use of pfd thresholds will encourage use of more homogeneous technical parameters and support efficient spectrum usage,</w:t>
      </w:r>
    </w:p>
    <w:p w:rsidR="00C131DF" w:rsidRPr="00D764C5" w:rsidRDefault="00C131DF" w:rsidP="00D764C5">
      <w:pPr>
        <w:pStyle w:val="Call"/>
      </w:pPr>
      <w:r w:rsidRPr="00D764C5">
        <w:t>resolves</w:t>
      </w:r>
    </w:p>
    <w:p w:rsidR="00C131DF" w:rsidRPr="00D764C5" w:rsidRDefault="00C131DF" w:rsidP="00D764C5">
      <w:r w:rsidRPr="00D764C5">
        <w:t>1</w:t>
      </w:r>
      <w:r w:rsidRPr="00D764C5">
        <w:tab/>
        <w:t>that in the frequency band 3 400</w:t>
      </w:r>
      <w:r w:rsidR="00D764C5">
        <w:t>-</w:t>
      </w:r>
      <w:r w:rsidRPr="00D764C5">
        <w:t>4 200</w:t>
      </w:r>
      <w:r w:rsidR="00D764C5">
        <w:t> </w:t>
      </w:r>
      <w:r w:rsidRPr="00D764C5">
        <w:t>MHz (space-to-Earth), assignments for a fixed-satellite service (FSS) space station with respect to other FSS networks do not have the potential to cause harmful interference if the pfd produced under assumed free</w:t>
      </w:r>
      <w:r w:rsidR="00D764C5">
        <w:t>-space propagation conditions</w:t>
      </w:r>
      <w:r w:rsidRPr="00D764C5">
        <w:t xml:space="preserve"> does not exceed the threshold values shown below, anywhere within the service area of the potentially affected assignment: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2"/>
        <w:gridCol w:w="425"/>
        <w:gridCol w:w="425"/>
        <w:gridCol w:w="425"/>
        <w:gridCol w:w="851"/>
        <w:gridCol w:w="2540"/>
        <w:gridCol w:w="2413"/>
      </w:tblGrid>
      <w:tr w:rsidR="00C131DF" w:rsidRPr="00D764C5" w:rsidTr="00C131DF">
        <w:trPr>
          <w:jc w:val="center"/>
        </w:trPr>
        <w:tc>
          <w:tcPr>
            <w:tcW w:w="732" w:type="dxa"/>
          </w:tcPr>
          <w:p w:rsidR="00C131DF" w:rsidRPr="00D764C5" w:rsidRDefault="00C131DF" w:rsidP="00D764C5">
            <w:pPr>
              <w:keepNext/>
              <w:jc w:val="right"/>
            </w:pPr>
          </w:p>
        </w:tc>
        <w:tc>
          <w:tcPr>
            <w:tcW w:w="425" w:type="dxa"/>
          </w:tcPr>
          <w:p w:rsidR="00C131DF" w:rsidRPr="00D764C5" w:rsidRDefault="00C131DF" w:rsidP="00D764C5">
            <w:pPr>
              <w:keepNext/>
            </w:pPr>
          </w:p>
        </w:tc>
        <w:tc>
          <w:tcPr>
            <w:tcW w:w="425" w:type="dxa"/>
          </w:tcPr>
          <w:p w:rsidR="00C131DF" w:rsidRPr="00D764C5" w:rsidRDefault="00C131DF" w:rsidP="00D764C5">
            <w:pPr>
              <w:keepNext/>
            </w:pPr>
            <w:r w:rsidRPr="00D764C5">
              <w:t>θ</w:t>
            </w:r>
          </w:p>
        </w:tc>
        <w:tc>
          <w:tcPr>
            <w:tcW w:w="425" w:type="dxa"/>
          </w:tcPr>
          <w:p w:rsidR="00C131DF" w:rsidRPr="00D764C5" w:rsidRDefault="00C131DF" w:rsidP="00D764C5">
            <w:pPr>
              <w:keepNext/>
            </w:pPr>
            <w:r w:rsidRPr="00D764C5">
              <w:t>≤</w:t>
            </w:r>
          </w:p>
        </w:tc>
        <w:tc>
          <w:tcPr>
            <w:tcW w:w="851" w:type="dxa"/>
          </w:tcPr>
          <w:p w:rsidR="00C131DF" w:rsidRPr="00D764C5" w:rsidRDefault="00C131DF" w:rsidP="00D764C5">
            <w:pPr>
              <w:keepNext/>
              <w:rPr>
                <w:b/>
              </w:rPr>
            </w:pPr>
            <w:r w:rsidRPr="00D764C5">
              <w:t>0.09°</w:t>
            </w:r>
          </w:p>
        </w:tc>
        <w:tc>
          <w:tcPr>
            <w:tcW w:w="2540" w:type="dxa"/>
          </w:tcPr>
          <w:p w:rsidR="00C131DF" w:rsidRPr="00D764C5" w:rsidRDefault="00C131DF" w:rsidP="00D764C5">
            <w:pPr>
              <w:keepNext/>
              <w:jc w:val="center"/>
              <w:rPr>
                <w:b/>
              </w:rPr>
            </w:pPr>
            <w:r w:rsidRPr="00D764C5">
              <w:t>−243.5</w:t>
            </w:r>
          </w:p>
        </w:tc>
        <w:tc>
          <w:tcPr>
            <w:tcW w:w="2413" w:type="dxa"/>
          </w:tcPr>
          <w:p w:rsidR="00C131DF" w:rsidRPr="00D764C5" w:rsidRDefault="00C131DF" w:rsidP="00D764C5">
            <w:pPr>
              <w:keepNext/>
            </w:pPr>
            <w:r w:rsidRPr="00D764C5">
              <w:t>(dBW/m</w:t>
            </w:r>
            <w:r w:rsidRPr="00D764C5">
              <w:rPr>
                <w:vertAlign w:val="superscript"/>
              </w:rPr>
              <w:t>2 </w:t>
            </w:r>
            <w:r w:rsidRPr="00D764C5">
              <w:t>∙ Hz)</w:t>
            </w:r>
          </w:p>
        </w:tc>
      </w:tr>
      <w:tr w:rsidR="00C131DF" w:rsidRPr="00D764C5" w:rsidTr="00C131DF">
        <w:trPr>
          <w:jc w:val="center"/>
        </w:trPr>
        <w:tc>
          <w:tcPr>
            <w:tcW w:w="732" w:type="dxa"/>
          </w:tcPr>
          <w:p w:rsidR="00C131DF" w:rsidRPr="00D764C5" w:rsidRDefault="00C131DF" w:rsidP="00D764C5">
            <w:pPr>
              <w:keepNext/>
              <w:jc w:val="right"/>
            </w:pPr>
            <w:r w:rsidRPr="00D764C5">
              <w:t>0.09°</w:t>
            </w:r>
          </w:p>
        </w:tc>
        <w:tc>
          <w:tcPr>
            <w:tcW w:w="425" w:type="dxa"/>
          </w:tcPr>
          <w:p w:rsidR="00C131DF" w:rsidRPr="00D764C5" w:rsidRDefault="00C131DF" w:rsidP="00D764C5">
            <w:pPr>
              <w:keepNext/>
            </w:pPr>
            <w:r w:rsidRPr="00D764C5">
              <w:t>&lt;</w:t>
            </w:r>
          </w:p>
        </w:tc>
        <w:tc>
          <w:tcPr>
            <w:tcW w:w="425" w:type="dxa"/>
          </w:tcPr>
          <w:p w:rsidR="00C131DF" w:rsidRPr="00D764C5" w:rsidRDefault="00C131DF" w:rsidP="00D764C5">
            <w:pPr>
              <w:keepNext/>
            </w:pPr>
            <w:r w:rsidRPr="00D764C5">
              <w:t>θ</w:t>
            </w:r>
          </w:p>
        </w:tc>
        <w:tc>
          <w:tcPr>
            <w:tcW w:w="425" w:type="dxa"/>
          </w:tcPr>
          <w:p w:rsidR="00C131DF" w:rsidRPr="00D764C5" w:rsidRDefault="00C131DF" w:rsidP="00D764C5">
            <w:pPr>
              <w:keepNext/>
            </w:pPr>
            <w:r w:rsidRPr="00D764C5">
              <w:t>≤</w:t>
            </w:r>
          </w:p>
        </w:tc>
        <w:tc>
          <w:tcPr>
            <w:tcW w:w="851" w:type="dxa"/>
          </w:tcPr>
          <w:p w:rsidR="00C131DF" w:rsidRPr="00D764C5" w:rsidRDefault="00C131DF" w:rsidP="00D764C5">
            <w:pPr>
              <w:keepNext/>
            </w:pPr>
            <w:r w:rsidRPr="00D764C5">
              <w:t>3°</w:t>
            </w:r>
          </w:p>
        </w:tc>
        <w:tc>
          <w:tcPr>
            <w:tcW w:w="2540" w:type="dxa"/>
          </w:tcPr>
          <w:p w:rsidR="00C131DF" w:rsidRPr="00D764C5" w:rsidRDefault="00C131DF" w:rsidP="00D764C5">
            <w:pPr>
              <w:keepNext/>
              <w:jc w:val="center"/>
            </w:pPr>
            <w:r w:rsidRPr="00D764C5">
              <w:t>−243.5 + 20log(θ/0.09)</w:t>
            </w:r>
          </w:p>
        </w:tc>
        <w:tc>
          <w:tcPr>
            <w:tcW w:w="2413" w:type="dxa"/>
          </w:tcPr>
          <w:p w:rsidR="00C131DF" w:rsidRPr="00D764C5" w:rsidRDefault="00C131DF" w:rsidP="00D764C5">
            <w:pPr>
              <w:keepNext/>
            </w:pPr>
            <w:r w:rsidRPr="00D764C5">
              <w:t>(dBW/m</w:t>
            </w:r>
            <w:r w:rsidRPr="00D764C5">
              <w:rPr>
                <w:vertAlign w:val="superscript"/>
              </w:rPr>
              <w:t>2 </w:t>
            </w:r>
            <w:r w:rsidRPr="00D764C5">
              <w:t>∙ Hz)</w:t>
            </w:r>
          </w:p>
        </w:tc>
      </w:tr>
      <w:tr w:rsidR="00C131DF" w:rsidRPr="00D764C5" w:rsidTr="00C131DF">
        <w:trPr>
          <w:jc w:val="center"/>
        </w:trPr>
        <w:tc>
          <w:tcPr>
            <w:tcW w:w="732" w:type="dxa"/>
          </w:tcPr>
          <w:p w:rsidR="00C131DF" w:rsidRPr="00D764C5" w:rsidRDefault="00C131DF" w:rsidP="00D764C5">
            <w:pPr>
              <w:keepNext/>
              <w:jc w:val="right"/>
            </w:pPr>
            <w:r w:rsidRPr="00D764C5">
              <w:t>3°</w:t>
            </w:r>
          </w:p>
        </w:tc>
        <w:tc>
          <w:tcPr>
            <w:tcW w:w="425" w:type="dxa"/>
          </w:tcPr>
          <w:p w:rsidR="00C131DF" w:rsidRPr="00D764C5" w:rsidRDefault="00C131DF" w:rsidP="00D764C5">
            <w:pPr>
              <w:keepNext/>
            </w:pPr>
            <w:r w:rsidRPr="00D764C5">
              <w:t>&lt;</w:t>
            </w:r>
          </w:p>
        </w:tc>
        <w:tc>
          <w:tcPr>
            <w:tcW w:w="425" w:type="dxa"/>
          </w:tcPr>
          <w:p w:rsidR="00C131DF" w:rsidRPr="00D764C5" w:rsidRDefault="00C131DF" w:rsidP="00D764C5">
            <w:pPr>
              <w:keepNext/>
            </w:pPr>
            <w:r w:rsidRPr="00D764C5">
              <w:t>θ</w:t>
            </w:r>
          </w:p>
        </w:tc>
        <w:tc>
          <w:tcPr>
            <w:tcW w:w="425" w:type="dxa"/>
          </w:tcPr>
          <w:p w:rsidR="00C131DF" w:rsidRPr="00D764C5" w:rsidRDefault="00C131DF" w:rsidP="00D764C5">
            <w:pPr>
              <w:keepNext/>
            </w:pPr>
            <w:r w:rsidRPr="00D764C5">
              <w:t>≤</w:t>
            </w:r>
          </w:p>
        </w:tc>
        <w:tc>
          <w:tcPr>
            <w:tcW w:w="851" w:type="dxa"/>
          </w:tcPr>
          <w:p w:rsidR="00C131DF" w:rsidRPr="00D764C5" w:rsidRDefault="00C131DF" w:rsidP="00D764C5">
            <w:pPr>
              <w:keepNext/>
            </w:pPr>
            <w:r w:rsidRPr="00D764C5">
              <w:t>5.5°</w:t>
            </w:r>
          </w:p>
        </w:tc>
        <w:tc>
          <w:tcPr>
            <w:tcW w:w="2540" w:type="dxa"/>
          </w:tcPr>
          <w:p w:rsidR="00C131DF" w:rsidRPr="00D764C5" w:rsidRDefault="00C131DF" w:rsidP="00D764C5">
            <w:pPr>
              <w:keepNext/>
              <w:jc w:val="center"/>
              <w:rPr>
                <w:vertAlign w:val="superscript"/>
              </w:rPr>
            </w:pPr>
            <w:r w:rsidRPr="00D764C5">
              <w:t>−219.8 + 0.75 ∙ θ</w:t>
            </w:r>
            <w:r w:rsidRPr="00D764C5">
              <w:rPr>
                <w:vertAlign w:val="superscript"/>
              </w:rPr>
              <w:t>2</w:t>
            </w:r>
          </w:p>
        </w:tc>
        <w:tc>
          <w:tcPr>
            <w:tcW w:w="2413" w:type="dxa"/>
          </w:tcPr>
          <w:p w:rsidR="00C131DF" w:rsidRPr="00D764C5" w:rsidRDefault="00C131DF" w:rsidP="00D764C5">
            <w:pPr>
              <w:keepNext/>
            </w:pPr>
            <w:r w:rsidRPr="00D764C5">
              <w:t>(dBW/m</w:t>
            </w:r>
            <w:r w:rsidRPr="00D764C5">
              <w:rPr>
                <w:vertAlign w:val="superscript"/>
              </w:rPr>
              <w:t>2 </w:t>
            </w:r>
            <w:r w:rsidRPr="00D764C5">
              <w:t>∙ Hz)</w:t>
            </w:r>
          </w:p>
        </w:tc>
      </w:tr>
      <w:tr w:rsidR="00C131DF" w:rsidRPr="00D764C5" w:rsidTr="00C131DF">
        <w:trPr>
          <w:jc w:val="center"/>
        </w:trPr>
        <w:tc>
          <w:tcPr>
            <w:tcW w:w="732" w:type="dxa"/>
          </w:tcPr>
          <w:p w:rsidR="00C131DF" w:rsidRPr="00D764C5" w:rsidRDefault="00C131DF" w:rsidP="00D764C5">
            <w:pPr>
              <w:keepNext/>
              <w:jc w:val="right"/>
            </w:pPr>
            <w:r w:rsidRPr="00D764C5">
              <w:t>5.5°</w:t>
            </w:r>
          </w:p>
        </w:tc>
        <w:tc>
          <w:tcPr>
            <w:tcW w:w="425" w:type="dxa"/>
          </w:tcPr>
          <w:p w:rsidR="00C131DF" w:rsidRPr="00D764C5" w:rsidRDefault="00C131DF" w:rsidP="00D764C5">
            <w:pPr>
              <w:keepNext/>
            </w:pPr>
            <w:r w:rsidRPr="00D764C5">
              <w:t>&lt;</w:t>
            </w:r>
          </w:p>
        </w:tc>
        <w:tc>
          <w:tcPr>
            <w:tcW w:w="425" w:type="dxa"/>
          </w:tcPr>
          <w:p w:rsidR="00C131DF" w:rsidRPr="00D764C5" w:rsidRDefault="00C131DF" w:rsidP="00D764C5">
            <w:pPr>
              <w:keepNext/>
            </w:pPr>
            <w:r w:rsidRPr="00D764C5">
              <w:t>θ</w:t>
            </w:r>
          </w:p>
        </w:tc>
        <w:tc>
          <w:tcPr>
            <w:tcW w:w="425" w:type="dxa"/>
          </w:tcPr>
          <w:p w:rsidR="00C131DF" w:rsidRPr="00D764C5" w:rsidRDefault="00C131DF" w:rsidP="00D764C5">
            <w:pPr>
              <w:keepNext/>
            </w:pPr>
            <w:r w:rsidRPr="00D764C5">
              <w:t>≤</w:t>
            </w:r>
          </w:p>
        </w:tc>
        <w:tc>
          <w:tcPr>
            <w:tcW w:w="851" w:type="dxa"/>
          </w:tcPr>
          <w:p w:rsidR="00C131DF" w:rsidRPr="00D764C5" w:rsidRDefault="00C131DF" w:rsidP="00D764C5">
            <w:pPr>
              <w:keepNext/>
            </w:pPr>
            <w:r w:rsidRPr="00D764C5">
              <w:t>20.9°</w:t>
            </w:r>
          </w:p>
        </w:tc>
        <w:tc>
          <w:tcPr>
            <w:tcW w:w="2540" w:type="dxa"/>
          </w:tcPr>
          <w:p w:rsidR="00C131DF" w:rsidRPr="00D764C5" w:rsidRDefault="00C131DF" w:rsidP="00D764C5">
            <w:pPr>
              <w:keepNext/>
              <w:jc w:val="center"/>
            </w:pPr>
            <w:r w:rsidRPr="00D764C5">
              <w:t>−196.8 + 25log(θ/5.6)</w:t>
            </w:r>
          </w:p>
        </w:tc>
        <w:tc>
          <w:tcPr>
            <w:tcW w:w="2413" w:type="dxa"/>
          </w:tcPr>
          <w:p w:rsidR="00C131DF" w:rsidRPr="00D764C5" w:rsidRDefault="00C131DF" w:rsidP="00D764C5">
            <w:pPr>
              <w:keepNext/>
            </w:pPr>
            <w:r w:rsidRPr="00D764C5">
              <w:t>(dBW/m</w:t>
            </w:r>
            <w:r w:rsidRPr="00D764C5">
              <w:rPr>
                <w:vertAlign w:val="superscript"/>
              </w:rPr>
              <w:t>2 </w:t>
            </w:r>
            <w:r w:rsidRPr="00D764C5">
              <w:t>∙ Hz)</w:t>
            </w:r>
          </w:p>
        </w:tc>
      </w:tr>
      <w:tr w:rsidR="00C131DF" w:rsidRPr="00D764C5" w:rsidTr="00C131DF">
        <w:trPr>
          <w:jc w:val="center"/>
        </w:trPr>
        <w:tc>
          <w:tcPr>
            <w:tcW w:w="732" w:type="dxa"/>
          </w:tcPr>
          <w:p w:rsidR="00C131DF" w:rsidRPr="00D764C5" w:rsidRDefault="00C131DF" w:rsidP="00C131DF">
            <w:pPr>
              <w:jc w:val="right"/>
            </w:pPr>
            <w:r w:rsidRPr="00D764C5">
              <w:t>20.9°</w:t>
            </w:r>
          </w:p>
        </w:tc>
        <w:tc>
          <w:tcPr>
            <w:tcW w:w="425" w:type="dxa"/>
          </w:tcPr>
          <w:p w:rsidR="00C131DF" w:rsidRPr="00D764C5" w:rsidRDefault="00C131DF" w:rsidP="00C131DF">
            <w:r w:rsidRPr="00D764C5">
              <w:t>&lt;</w:t>
            </w:r>
          </w:p>
        </w:tc>
        <w:tc>
          <w:tcPr>
            <w:tcW w:w="425" w:type="dxa"/>
          </w:tcPr>
          <w:p w:rsidR="00C131DF" w:rsidRPr="00D764C5" w:rsidRDefault="00C131DF" w:rsidP="00C131DF">
            <w:r w:rsidRPr="00D764C5">
              <w:t>θ</w:t>
            </w:r>
          </w:p>
        </w:tc>
        <w:tc>
          <w:tcPr>
            <w:tcW w:w="425" w:type="dxa"/>
          </w:tcPr>
          <w:p w:rsidR="00C131DF" w:rsidRPr="00D764C5" w:rsidRDefault="00C131DF" w:rsidP="00C131DF"/>
        </w:tc>
        <w:tc>
          <w:tcPr>
            <w:tcW w:w="851" w:type="dxa"/>
          </w:tcPr>
          <w:p w:rsidR="00C131DF" w:rsidRPr="00D764C5" w:rsidRDefault="00C131DF" w:rsidP="00C131DF"/>
        </w:tc>
        <w:tc>
          <w:tcPr>
            <w:tcW w:w="2540" w:type="dxa"/>
          </w:tcPr>
          <w:p w:rsidR="00C131DF" w:rsidRPr="00D764C5" w:rsidRDefault="00C131DF" w:rsidP="00C131DF">
            <w:pPr>
              <w:jc w:val="center"/>
            </w:pPr>
            <w:r w:rsidRPr="00D764C5">
              <w:t>−182.6</w:t>
            </w:r>
          </w:p>
        </w:tc>
        <w:tc>
          <w:tcPr>
            <w:tcW w:w="2413" w:type="dxa"/>
          </w:tcPr>
          <w:p w:rsidR="00C131DF" w:rsidRPr="00D764C5" w:rsidRDefault="00C131DF" w:rsidP="00C131DF">
            <w:r w:rsidRPr="00D764C5">
              <w:t>(dBW/m</w:t>
            </w:r>
            <w:r w:rsidRPr="00D764C5">
              <w:rPr>
                <w:vertAlign w:val="superscript"/>
              </w:rPr>
              <w:t>2 </w:t>
            </w:r>
            <w:r w:rsidRPr="00D764C5">
              <w:t>∙ Hz)</w:t>
            </w:r>
          </w:p>
        </w:tc>
      </w:tr>
    </w:tbl>
    <w:p w:rsidR="00C131DF" w:rsidRPr="00D764C5" w:rsidRDefault="00C131DF" w:rsidP="00D764C5">
      <w:r w:rsidRPr="00D764C5">
        <w:t xml:space="preserve">where </w:t>
      </w:r>
      <w:r w:rsidRPr="00D764C5">
        <w:sym w:font="Symbol" w:char="F071"/>
      </w:r>
      <w:r w:rsidRPr="00D764C5">
        <w:t xml:space="preserve"> is the minimum nominal geocentric orbital separation, in degrees, between the wanted and interfering space stations, taking into account the respective East-West station-keeping accuracies;</w:t>
      </w:r>
    </w:p>
    <w:p w:rsidR="00C131DF" w:rsidRPr="00D764C5" w:rsidRDefault="00C131DF" w:rsidP="00D764C5">
      <w:r w:rsidRPr="00D764C5">
        <w:t>2</w:t>
      </w:r>
      <w:r w:rsidRPr="00D764C5">
        <w:tab/>
        <w:t>that in the frequency bands 5 725-5 850 MHz (Region 1), 5 850-6 725 MHz and 7 025-7 075 MHz (Earth-to-space), assignments for an FSS earth station with respect to other FSS networks do not have the potential to cause harmful interference if the pfd produced at the geostationary orbit location of the other FSS network under assumed free-space propagation conditions, does not exceed −204.0 dBW/m</w:t>
      </w:r>
      <w:r w:rsidRPr="00D764C5">
        <w:rPr>
          <w:vertAlign w:val="superscript"/>
        </w:rPr>
        <w:t>2</w:t>
      </w:r>
      <w:r w:rsidRPr="00D764C5">
        <w:t> ∙ Hz, taking into account the respective East-West station-keeping accuracies;</w:t>
      </w:r>
    </w:p>
    <w:p w:rsidR="00C131DF" w:rsidRPr="00D764C5" w:rsidRDefault="00C131DF" w:rsidP="00D764C5">
      <w:r w:rsidRPr="00D764C5">
        <w:t>3</w:t>
      </w:r>
      <w:r w:rsidRPr="00D764C5">
        <w:tab/>
        <w:t>that in the frequency bands 10.95-11.2 GHz, 11.45-11.7 GHz, 11.7-12.2 GHz (Region 2), 12.2</w:t>
      </w:r>
      <w:r w:rsidRPr="00D764C5">
        <w:noBreakHyphen/>
        <w:t>12.5 GHz (Region 3), 12.5-12.7 GHz (Regions 1 and 3) and 12.7</w:t>
      </w:r>
      <w:r w:rsidRPr="00D764C5">
        <w:noBreakHyphen/>
        <w:t>12.75 GHz (space-to-Earth), assignments for a</w:t>
      </w:r>
      <w:r w:rsidR="00CD1ADF">
        <w:t>n</w:t>
      </w:r>
      <w:r w:rsidRPr="00D764C5">
        <w:t xml:space="preserve"> FSS or broadcasting-satellite service (BSS) space station with respect to other FSS or BSS networks do not have the potential to cause harmful interference if the pfd produced under assumed free-space propagation conditions, does not exceed the threshold values shown below, anywhere within the service area of the potentially affected assignment:</w:t>
      </w:r>
    </w:p>
    <w:tbl>
      <w:tblPr>
        <w:tblStyle w:val="TableGrid"/>
        <w:tblW w:w="77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40"/>
        <w:gridCol w:w="352"/>
        <w:gridCol w:w="424"/>
        <w:gridCol w:w="424"/>
        <w:gridCol w:w="850"/>
        <w:gridCol w:w="2532"/>
        <w:gridCol w:w="2401"/>
      </w:tblGrid>
      <w:tr w:rsidR="00C131DF" w:rsidRPr="00D764C5" w:rsidTr="00C131DF">
        <w:trPr>
          <w:jc w:val="center"/>
        </w:trPr>
        <w:tc>
          <w:tcPr>
            <w:tcW w:w="740" w:type="dxa"/>
          </w:tcPr>
          <w:p w:rsidR="00C131DF" w:rsidRPr="00D764C5" w:rsidRDefault="00C131DF" w:rsidP="00D764C5">
            <w:pPr>
              <w:keepNext/>
              <w:jc w:val="right"/>
            </w:pPr>
          </w:p>
        </w:tc>
        <w:tc>
          <w:tcPr>
            <w:tcW w:w="352" w:type="dxa"/>
          </w:tcPr>
          <w:p w:rsidR="00C131DF" w:rsidRPr="00D764C5" w:rsidRDefault="00C131DF" w:rsidP="00D764C5">
            <w:pPr>
              <w:keepNext/>
            </w:pPr>
          </w:p>
        </w:tc>
        <w:tc>
          <w:tcPr>
            <w:tcW w:w="424" w:type="dxa"/>
          </w:tcPr>
          <w:p w:rsidR="00C131DF" w:rsidRPr="00D764C5" w:rsidRDefault="00C131DF" w:rsidP="00D764C5">
            <w:pPr>
              <w:keepNext/>
            </w:pPr>
            <w:r w:rsidRPr="00D764C5">
              <w:t>θ</w:t>
            </w:r>
          </w:p>
        </w:tc>
        <w:tc>
          <w:tcPr>
            <w:tcW w:w="424" w:type="dxa"/>
          </w:tcPr>
          <w:p w:rsidR="00C131DF" w:rsidRPr="00D764C5" w:rsidRDefault="00C131DF" w:rsidP="00D764C5">
            <w:pPr>
              <w:keepNext/>
            </w:pPr>
            <w:r w:rsidRPr="00D764C5">
              <w:t>≤</w:t>
            </w:r>
          </w:p>
        </w:tc>
        <w:tc>
          <w:tcPr>
            <w:tcW w:w="850" w:type="dxa"/>
          </w:tcPr>
          <w:p w:rsidR="00C131DF" w:rsidRPr="00D764C5" w:rsidRDefault="00C131DF" w:rsidP="00D764C5">
            <w:pPr>
              <w:keepNext/>
            </w:pPr>
            <w:r w:rsidRPr="00D764C5">
              <w:t>0.05°</w:t>
            </w:r>
          </w:p>
        </w:tc>
        <w:tc>
          <w:tcPr>
            <w:tcW w:w="2532" w:type="dxa"/>
          </w:tcPr>
          <w:p w:rsidR="00C131DF" w:rsidRPr="00D764C5" w:rsidRDefault="00C131DF" w:rsidP="00D764C5">
            <w:pPr>
              <w:keepNext/>
              <w:jc w:val="center"/>
            </w:pPr>
            <w:r w:rsidRPr="00D764C5">
              <w:t>−238.0</w:t>
            </w:r>
          </w:p>
        </w:tc>
        <w:tc>
          <w:tcPr>
            <w:tcW w:w="2401" w:type="dxa"/>
          </w:tcPr>
          <w:p w:rsidR="00C131DF" w:rsidRPr="00D764C5" w:rsidRDefault="00C131DF" w:rsidP="00D764C5">
            <w:pPr>
              <w:keepNext/>
            </w:pPr>
            <w:r w:rsidRPr="00D764C5">
              <w:t>(dBW/m</w:t>
            </w:r>
            <w:r w:rsidRPr="00D764C5">
              <w:rPr>
                <w:vertAlign w:val="superscript"/>
              </w:rPr>
              <w:t>2 </w:t>
            </w:r>
            <w:r w:rsidRPr="00D764C5">
              <w:t>∙ Hz)</w:t>
            </w:r>
          </w:p>
        </w:tc>
      </w:tr>
      <w:tr w:rsidR="00C131DF" w:rsidRPr="00D764C5" w:rsidTr="00C131DF">
        <w:trPr>
          <w:jc w:val="center"/>
        </w:trPr>
        <w:tc>
          <w:tcPr>
            <w:tcW w:w="740" w:type="dxa"/>
          </w:tcPr>
          <w:p w:rsidR="00C131DF" w:rsidRPr="00D764C5" w:rsidRDefault="00C131DF" w:rsidP="00D764C5">
            <w:pPr>
              <w:keepNext/>
              <w:jc w:val="right"/>
            </w:pPr>
            <w:r w:rsidRPr="00D764C5">
              <w:t>0.05°</w:t>
            </w:r>
          </w:p>
        </w:tc>
        <w:tc>
          <w:tcPr>
            <w:tcW w:w="352" w:type="dxa"/>
          </w:tcPr>
          <w:p w:rsidR="00C131DF" w:rsidRPr="00D764C5" w:rsidRDefault="00C131DF" w:rsidP="00D764C5">
            <w:pPr>
              <w:keepNext/>
            </w:pPr>
            <w:r w:rsidRPr="00D764C5">
              <w:t>&lt;</w:t>
            </w:r>
          </w:p>
        </w:tc>
        <w:tc>
          <w:tcPr>
            <w:tcW w:w="424" w:type="dxa"/>
          </w:tcPr>
          <w:p w:rsidR="00C131DF" w:rsidRPr="00D764C5" w:rsidRDefault="00C131DF" w:rsidP="00D764C5">
            <w:pPr>
              <w:keepNext/>
            </w:pPr>
            <w:r w:rsidRPr="00D764C5">
              <w:t>θ</w:t>
            </w:r>
          </w:p>
        </w:tc>
        <w:tc>
          <w:tcPr>
            <w:tcW w:w="424" w:type="dxa"/>
          </w:tcPr>
          <w:p w:rsidR="00C131DF" w:rsidRPr="00D764C5" w:rsidRDefault="00C131DF" w:rsidP="00D764C5">
            <w:pPr>
              <w:keepNext/>
            </w:pPr>
            <w:r w:rsidRPr="00D764C5">
              <w:t>≤</w:t>
            </w:r>
          </w:p>
        </w:tc>
        <w:tc>
          <w:tcPr>
            <w:tcW w:w="850" w:type="dxa"/>
          </w:tcPr>
          <w:p w:rsidR="00C131DF" w:rsidRPr="00D764C5" w:rsidRDefault="00C131DF" w:rsidP="00D764C5">
            <w:pPr>
              <w:keepNext/>
            </w:pPr>
            <w:r w:rsidRPr="00D764C5">
              <w:t>3°</w:t>
            </w:r>
          </w:p>
        </w:tc>
        <w:tc>
          <w:tcPr>
            <w:tcW w:w="2532" w:type="dxa"/>
          </w:tcPr>
          <w:p w:rsidR="00C131DF" w:rsidRPr="00D764C5" w:rsidRDefault="00C131DF" w:rsidP="00D764C5">
            <w:pPr>
              <w:keepNext/>
              <w:jc w:val="center"/>
            </w:pPr>
            <w:r w:rsidRPr="00D764C5">
              <w:t>−238.0 + 20log(θ/0.05)</w:t>
            </w:r>
          </w:p>
        </w:tc>
        <w:tc>
          <w:tcPr>
            <w:tcW w:w="2401" w:type="dxa"/>
          </w:tcPr>
          <w:p w:rsidR="00C131DF" w:rsidRPr="00D764C5" w:rsidRDefault="00C131DF" w:rsidP="00D764C5">
            <w:pPr>
              <w:keepNext/>
            </w:pPr>
            <w:r w:rsidRPr="00D764C5">
              <w:t>(dBW/m</w:t>
            </w:r>
            <w:r w:rsidRPr="00D764C5">
              <w:rPr>
                <w:vertAlign w:val="superscript"/>
              </w:rPr>
              <w:t>2 </w:t>
            </w:r>
            <w:r w:rsidRPr="00D764C5">
              <w:t>∙ Hz)</w:t>
            </w:r>
          </w:p>
        </w:tc>
      </w:tr>
      <w:tr w:rsidR="00C131DF" w:rsidRPr="00D764C5" w:rsidTr="00C131DF">
        <w:trPr>
          <w:jc w:val="center"/>
        </w:trPr>
        <w:tc>
          <w:tcPr>
            <w:tcW w:w="740" w:type="dxa"/>
          </w:tcPr>
          <w:p w:rsidR="00C131DF" w:rsidRPr="00D764C5" w:rsidRDefault="00C131DF" w:rsidP="00D764C5">
            <w:pPr>
              <w:keepNext/>
              <w:jc w:val="right"/>
            </w:pPr>
            <w:r w:rsidRPr="00D764C5">
              <w:t>3°</w:t>
            </w:r>
          </w:p>
        </w:tc>
        <w:tc>
          <w:tcPr>
            <w:tcW w:w="352" w:type="dxa"/>
          </w:tcPr>
          <w:p w:rsidR="00C131DF" w:rsidRPr="00D764C5" w:rsidRDefault="00C131DF" w:rsidP="00D764C5">
            <w:pPr>
              <w:keepNext/>
            </w:pPr>
            <w:r w:rsidRPr="00D764C5">
              <w:t>&lt;</w:t>
            </w:r>
          </w:p>
        </w:tc>
        <w:tc>
          <w:tcPr>
            <w:tcW w:w="424" w:type="dxa"/>
          </w:tcPr>
          <w:p w:rsidR="00C131DF" w:rsidRPr="00D764C5" w:rsidRDefault="00C131DF" w:rsidP="00D764C5">
            <w:pPr>
              <w:keepNext/>
            </w:pPr>
            <w:r w:rsidRPr="00D764C5">
              <w:t>θ</w:t>
            </w:r>
          </w:p>
        </w:tc>
        <w:tc>
          <w:tcPr>
            <w:tcW w:w="424" w:type="dxa"/>
          </w:tcPr>
          <w:p w:rsidR="00C131DF" w:rsidRPr="00D764C5" w:rsidRDefault="00C131DF" w:rsidP="00D764C5">
            <w:pPr>
              <w:keepNext/>
            </w:pPr>
            <w:r w:rsidRPr="00D764C5">
              <w:t>≤</w:t>
            </w:r>
          </w:p>
        </w:tc>
        <w:tc>
          <w:tcPr>
            <w:tcW w:w="850" w:type="dxa"/>
          </w:tcPr>
          <w:p w:rsidR="00C131DF" w:rsidRPr="00D764C5" w:rsidRDefault="00C131DF" w:rsidP="00D764C5">
            <w:pPr>
              <w:keepNext/>
            </w:pPr>
            <w:r w:rsidRPr="00D764C5">
              <w:t>5°</w:t>
            </w:r>
          </w:p>
        </w:tc>
        <w:tc>
          <w:tcPr>
            <w:tcW w:w="2532" w:type="dxa"/>
          </w:tcPr>
          <w:p w:rsidR="00C131DF" w:rsidRPr="00D764C5" w:rsidRDefault="00C131DF" w:rsidP="00D764C5">
            <w:pPr>
              <w:keepNext/>
              <w:jc w:val="center"/>
              <w:rPr>
                <w:vertAlign w:val="superscript"/>
              </w:rPr>
            </w:pPr>
            <w:r w:rsidRPr="00D764C5">
              <w:t>−210.0 + 0.95 ∙ θ</w:t>
            </w:r>
            <w:r w:rsidRPr="00D764C5">
              <w:rPr>
                <w:vertAlign w:val="superscript"/>
              </w:rPr>
              <w:t>2</w:t>
            </w:r>
          </w:p>
        </w:tc>
        <w:tc>
          <w:tcPr>
            <w:tcW w:w="2401" w:type="dxa"/>
          </w:tcPr>
          <w:p w:rsidR="00C131DF" w:rsidRPr="00D764C5" w:rsidRDefault="00C131DF" w:rsidP="00D764C5">
            <w:pPr>
              <w:keepNext/>
            </w:pPr>
            <w:r w:rsidRPr="00D764C5">
              <w:t>(dBW/m</w:t>
            </w:r>
            <w:r w:rsidRPr="00D764C5">
              <w:rPr>
                <w:vertAlign w:val="superscript"/>
              </w:rPr>
              <w:t>2 </w:t>
            </w:r>
            <w:r w:rsidRPr="00D764C5">
              <w:t>∙ Hz)</w:t>
            </w:r>
          </w:p>
        </w:tc>
      </w:tr>
      <w:tr w:rsidR="00C131DF" w:rsidRPr="00D764C5" w:rsidTr="00C131DF">
        <w:trPr>
          <w:jc w:val="center"/>
        </w:trPr>
        <w:tc>
          <w:tcPr>
            <w:tcW w:w="740" w:type="dxa"/>
          </w:tcPr>
          <w:p w:rsidR="00C131DF" w:rsidRPr="00D764C5" w:rsidRDefault="00C131DF" w:rsidP="00D764C5">
            <w:pPr>
              <w:keepNext/>
              <w:jc w:val="right"/>
            </w:pPr>
            <w:r w:rsidRPr="00D764C5">
              <w:t>5°</w:t>
            </w:r>
          </w:p>
        </w:tc>
        <w:tc>
          <w:tcPr>
            <w:tcW w:w="352" w:type="dxa"/>
          </w:tcPr>
          <w:p w:rsidR="00C131DF" w:rsidRPr="00D764C5" w:rsidRDefault="00C131DF" w:rsidP="00D764C5">
            <w:pPr>
              <w:keepNext/>
            </w:pPr>
            <w:r w:rsidRPr="00D764C5">
              <w:t>&lt;</w:t>
            </w:r>
          </w:p>
        </w:tc>
        <w:tc>
          <w:tcPr>
            <w:tcW w:w="424" w:type="dxa"/>
          </w:tcPr>
          <w:p w:rsidR="00C131DF" w:rsidRPr="00D764C5" w:rsidRDefault="00C131DF" w:rsidP="00D764C5">
            <w:pPr>
              <w:keepNext/>
            </w:pPr>
            <w:r w:rsidRPr="00D764C5">
              <w:t>θ</w:t>
            </w:r>
          </w:p>
        </w:tc>
        <w:tc>
          <w:tcPr>
            <w:tcW w:w="424" w:type="dxa"/>
          </w:tcPr>
          <w:p w:rsidR="00C131DF" w:rsidRPr="00D764C5" w:rsidRDefault="00C131DF" w:rsidP="00D764C5">
            <w:pPr>
              <w:keepNext/>
            </w:pPr>
            <w:r w:rsidRPr="00D764C5">
              <w:t>≤</w:t>
            </w:r>
          </w:p>
        </w:tc>
        <w:tc>
          <w:tcPr>
            <w:tcW w:w="850" w:type="dxa"/>
          </w:tcPr>
          <w:p w:rsidR="00C131DF" w:rsidRPr="00D764C5" w:rsidRDefault="00C131DF" w:rsidP="00D764C5">
            <w:pPr>
              <w:keepNext/>
            </w:pPr>
            <w:r w:rsidRPr="00D764C5">
              <w:t>20.9°</w:t>
            </w:r>
          </w:p>
        </w:tc>
        <w:tc>
          <w:tcPr>
            <w:tcW w:w="2532" w:type="dxa"/>
          </w:tcPr>
          <w:p w:rsidR="00C131DF" w:rsidRPr="00D764C5" w:rsidRDefault="00C131DF" w:rsidP="00D764C5">
            <w:pPr>
              <w:keepNext/>
              <w:jc w:val="center"/>
            </w:pPr>
            <w:r w:rsidRPr="00D764C5">
              <w:t>−187.2 + 25log(θ/5)</w:t>
            </w:r>
          </w:p>
        </w:tc>
        <w:tc>
          <w:tcPr>
            <w:tcW w:w="2401" w:type="dxa"/>
          </w:tcPr>
          <w:p w:rsidR="00C131DF" w:rsidRPr="00D764C5" w:rsidRDefault="00C131DF" w:rsidP="00D764C5">
            <w:pPr>
              <w:keepNext/>
            </w:pPr>
            <w:r w:rsidRPr="00D764C5">
              <w:t>(dBW/m</w:t>
            </w:r>
            <w:r w:rsidRPr="00D764C5">
              <w:rPr>
                <w:vertAlign w:val="superscript"/>
              </w:rPr>
              <w:t>2 </w:t>
            </w:r>
            <w:r w:rsidRPr="00D764C5">
              <w:t>∙ Hz)</w:t>
            </w:r>
          </w:p>
        </w:tc>
      </w:tr>
      <w:tr w:rsidR="00C131DF" w:rsidRPr="00D764C5" w:rsidTr="00C131DF">
        <w:trPr>
          <w:jc w:val="center"/>
        </w:trPr>
        <w:tc>
          <w:tcPr>
            <w:tcW w:w="740" w:type="dxa"/>
          </w:tcPr>
          <w:p w:rsidR="00C131DF" w:rsidRPr="00D764C5" w:rsidRDefault="00C131DF" w:rsidP="00C131DF">
            <w:pPr>
              <w:jc w:val="right"/>
            </w:pPr>
            <w:r w:rsidRPr="00D764C5">
              <w:t>20.9°</w:t>
            </w:r>
          </w:p>
        </w:tc>
        <w:tc>
          <w:tcPr>
            <w:tcW w:w="352" w:type="dxa"/>
          </w:tcPr>
          <w:p w:rsidR="00C131DF" w:rsidRPr="00D764C5" w:rsidRDefault="00C131DF" w:rsidP="00C131DF">
            <w:r w:rsidRPr="00D764C5">
              <w:t>&lt;</w:t>
            </w:r>
          </w:p>
        </w:tc>
        <w:tc>
          <w:tcPr>
            <w:tcW w:w="424" w:type="dxa"/>
          </w:tcPr>
          <w:p w:rsidR="00C131DF" w:rsidRPr="00D764C5" w:rsidRDefault="00C131DF" w:rsidP="00C131DF">
            <w:r w:rsidRPr="00D764C5">
              <w:t>θ</w:t>
            </w:r>
          </w:p>
        </w:tc>
        <w:tc>
          <w:tcPr>
            <w:tcW w:w="424" w:type="dxa"/>
          </w:tcPr>
          <w:p w:rsidR="00C131DF" w:rsidRPr="00D764C5" w:rsidRDefault="00C131DF" w:rsidP="00C131DF">
            <w:pPr>
              <w:rPr>
                <w:sz w:val="20"/>
              </w:rPr>
            </w:pPr>
          </w:p>
        </w:tc>
        <w:tc>
          <w:tcPr>
            <w:tcW w:w="850" w:type="dxa"/>
          </w:tcPr>
          <w:p w:rsidR="00C131DF" w:rsidRPr="00D764C5" w:rsidRDefault="00C131DF" w:rsidP="00C131DF">
            <w:pPr>
              <w:rPr>
                <w:sz w:val="20"/>
              </w:rPr>
            </w:pPr>
          </w:p>
        </w:tc>
        <w:tc>
          <w:tcPr>
            <w:tcW w:w="2532" w:type="dxa"/>
          </w:tcPr>
          <w:p w:rsidR="00C131DF" w:rsidRPr="00D764C5" w:rsidRDefault="00C131DF" w:rsidP="00C131DF">
            <w:pPr>
              <w:jc w:val="center"/>
            </w:pPr>
            <w:r w:rsidRPr="00D764C5">
              <w:t>−171.9</w:t>
            </w:r>
          </w:p>
        </w:tc>
        <w:tc>
          <w:tcPr>
            <w:tcW w:w="2401" w:type="dxa"/>
          </w:tcPr>
          <w:p w:rsidR="00C131DF" w:rsidRPr="00D764C5" w:rsidRDefault="00C131DF" w:rsidP="00C131DF">
            <w:r w:rsidRPr="00D764C5">
              <w:t>(dBW/m</w:t>
            </w:r>
            <w:r w:rsidRPr="00D764C5">
              <w:rPr>
                <w:vertAlign w:val="superscript"/>
              </w:rPr>
              <w:t>2 </w:t>
            </w:r>
            <w:r w:rsidRPr="00D764C5">
              <w:t>∙ Hz)</w:t>
            </w:r>
          </w:p>
        </w:tc>
      </w:tr>
    </w:tbl>
    <w:p w:rsidR="00C131DF" w:rsidRPr="00D764C5" w:rsidRDefault="00C131DF" w:rsidP="00D764C5">
      <w:r w:rsidRPr="00D764C5">
        <w:t xml:space="preserve">where </w:t>
      </w:r>
      <w:r w:rsidRPr="00D764C5">
        <w:sym w:font="Symbol" w:char="F071"/>
      </w:r>
      <w:r w:rsidRPr="00D764C5">
        <w:t xml:space="preserve"> is the minimum nominal geocentric orbital separation, in degrees, between the wanted and interfering space stations, taking into account the respective East-West station-keeping accuracies;</w:t>
      </w:r>
    </w:p>
    <w:p w:rsidR="00C131DF" w:rsidRPr="00D764C5" w:rsidRDefault="00C131DF" w:rsidP="00CD1ADF">
      <w:r w:rsidRPr="00D764C5">
        <w:t>4</w:t>
      </w:r>
      <w:r w:rsidRPr="00D764C5">
        <w:tab/>
        <w:t xml:space="preserve">that in the frequency band 13.75-14.5 GHz (Earth-to-space), assignments for an FSS earth station with respect to other FSS networks do not have the potential to cause harmful interference if the pfd produced at the geostationary orbit location of the other FSS network under assumed free-space propagation conditions, does not exceed </w:t>
      </w:r>
      <w:r w:rsidR="00CD1ADF">
        <w:t xml:space="preserve"> −</w:t>
      </w:r>
      <w:r w:rsidRPr="00D764C5">
        <w:t>208</w:t>
      </w:r>
      <w:r w:rsidR="00CD1ADF">
        <w:t> </w:t>
      </w:r>
      <w:r w:rsidRPr="00D764C5">
        <w:t>dBW/m</w:t>
      </w:r>
      <w:r w:rsidRPr="00D764C5">
        <w:rPr>
          <w:vertAlign w:val="superscript"/>
        </w:rPr>
        <w:t>2</w:t>
      </w:r>
      <w:r w:rsidRPr="00D764C5">
        <w:t> ∙ Hz, taking into account the respective East-West station-keeping accuracies;</w:t>
      </w:r>
    </w:p>
    <w:p w:rsidR="00C131DF" w:rsidRPr="00D764C5" w:rsidRDefault="00C131DF" w:rsidP="00D764C5">
      <w:r w:rsidRPr="00D764C5">
        <w:t>5</w:t>
      </w:r>
      <w:r w:rsidRPr="00D764C5">
        <w:tab/>
        <w:t>that when the Bureau, under No. </w:t>
      </w:r>
      <w:r w:rsidRPr="00D764C5">
        <w:rPr>
          <w:b/>
        </w:rPr>
        <w:t>11.32A</w:t>
      </w:r>
      <w:r w:rsidRPr="00D764C5">
        <w:t>, conducts its examination of the probability of harmful interference in accordance with this Resolution, the above criteria shall be used.</w:t>
      </w:r>
    </w:p>
    <w:p w:rsidR="002128EB" w:rsidRPr="00D764C5" w:rsidRDefault="002128EB">
      <w:pPr>
        <w:pStyle w:val="Reasons"/>
      </w:pPr>
    </w:p>
    <w:p w:rsidR="00C131DF" w:rsidRPr="00D764C5" w:rsidRDefault="00D764C5" w:rsidP="00CD1ADF">
      <w:pPr>
        <w:pStyle w:val="Note"/>
      </w:pPr>
      <w:r w:rsidRPr="00D764C5">
        <w:rPr>
          <w:bCs/>
        </w:rPr>
        <w:t xml:space="preserve">NOTE – </w:t>
      </w:r>
      <w:r w:rsidR="00C131DF" w:rsidRPr="00D764C5">
        <w:t>FSS and BSS networks are also subject to other relevant limits of the RR, including, but limited to, Nos.</w:t>
      </w:r>
      <w:r w:rsidR="00CD1ADF">
        <w:t> </w:t>
      </w:r>
      <w:r w:rsidR="00C131DF" w:rsidRPr="00D764C5">
        <w:t>21.16 and</w:t>
      </w:r>
      <w:r w:rsidR="00CD1ADF">
        <w:t> </w:t>
      </w:r>
      <w:r w:rsidR="00C131DF" w:rsidRPr="00D764C5">
        <w:t>21.17.</w:t>
      </w:r>
    </w:p>
    <w:p w:rsidR="00C131DF" w:rsidRPr="00CD1ADF" w:rsidRDefault="00C131DF" w:rsidP="00CD1ADF">
      <w:pPr>
        <w:pStyle w:val="Headingb"/>
        <w:rPr>
          <w:lang w:val="en-US"/>
        </w:rPr>
      </w:pPr>
      <w:r w:rsidRPr="00CD1ADF">
        <w:rPr>
          <w:lang w:val="en-US"/>
        </w:rPr>
        <w:t xml:space="preserve">Issue B: Regulatory and procedural considerations in respect of </w:t>
      </w:r>
      <w:r w:rsidRPr="00CD1ADF">
        <w:rPr>
          <w:i/>
          <w:iCs/>
          <w:lang w:val="en-US"/>
        </w:rPr>
        <w:t>resolves</w:t>
      </w:r>
      <w:r w:rsidRPr="00CD1ADF">
        <w:rPr>
          <w:lang w:val="en-US"/>
        </w:rPr>
        <w:t xml:space="preserve"> 2 of Resolution</w:t>
      </w:r>
      <w:r w:rsidR="00CD1ADF">
        <w:rPr>
          <w:lang w:val="en-US"/>
        </w:rPr>
        <w:t> </w:t>
      </w:r>
      <w:r w:rsidRPr="00CD1ADF">
        <w:rPr>
          <w:bCs/>
          <w:lang w:val="en-US"/>
        </w:rPr>
        <w:t>756</w:t>
      </w:r>
      <w:r w:rsidR="00CD1ADF">
        <w:rPr>
          <w:bCs/>
          <w:lang w:val="en-US"/>
        </w:rPr>
        <w:t> </w:t>
      </w:r>
      <w:r w:rsidRPr="00CD1ADF">
        <w:rPr>
          <w:bCs/>
          <w:lang w:val="en-US"/>
        </w:rPr>
        <w:t>(WRC</w:t>
      </w:r>
      <w:r w:rsidR="00CD1ADF" w:rsidRPr="00CD1ADF">
        <w:rPr>
          <w:bCs/>
          <w:lang w:val="en-US"/>
        </w:rPr>
        <w:noBreakHyphen/>
      </w:r>
      <w:r w:rsidRPr="00CD1ADF">
        <w:rPr>
          <w:bCs/>
          <w:lang w:val="en-US"/>
        </w:rPr>
        <w:t>12)</w:t>
      </w:r>
    </w:p>
    <w:p w:rsidR="00C131DF" w:rsidRPr="00D764C5" w:rsidRDefault="00C131DF" w:rsidP="00C131DF">
      <w:pPr>
        <w:pStyle w:val="AppendixNo"/>
        <w:keepNext w:val="0"/>
        <w:keepLines w:val="0"/>
      </w:pPr>
      <w:r w:rsidRPr="00D764C5">
        <w:t xml:space="preserve">APPENDIX </w:t>
      </w:r>
      <w:r w:rsidRPr="00D764C5">
        <w:rPr>
          <w:rStyle w:val="href"/>
        </w:rPr>
        <w:t>5</w:t>
      </w:r>
      <w:r w:rsidRPr="00D764C5">
        <w:t xml:space="preserve"> (REV.WRC</w:t>
      </w:r>
      <w:r w:rsidRPr="00D764C5">
        <w:noBreakHyphen/>
        <w:t>12)</w:t>
      </w:r>
    </w:p>
    <w:p w:rsidR="00C131DF" w:rsidRPr="00D764C5" w:rsidRDefault="00C131DF" w:rsidP="00C131DF">
      <w:pPr>
        <w:pStyle w:val="Appendixtitle"/>
        <w:keepNext w:val="0"/>
        <w:keepLines w:val="0"/>
      </w:pPr>
      <w:bookmarkStart w:id="17" w:name="_Toc328648895"/>
      <w:r w:rsidRPr="00D764C5">
        <w:t>Identification of administrations with which coordination is to be effected or</w:t>
      </w:r>
      <w:r w:rsidRPr="00D764C5">
        <w:br/>
        <w:t>agreement sought under the provisions of Article 9</w:t>
      </w:r>
      <w:bookmarkEnd w:id="17"/>
    </w:p>
    <w:p w:rsidR="002128EB" w:rsidRPr="00D764C5" w:rsidRDefault="002128EB">
      <w:pPr>
        <w:sectPr w:rsidR="002128EB" w:rsidRPr="00D764C5" w:rsidSect="00CD1ADF">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2128EB" w:rsidRPr="00D764C5" w:rsidRDefault="00C131DF">
      <w:pPr>
        <w:pStyle w:val="Proposal"/>
      </w:pPr>
      <w:r w:rsidRPr="00D764C5">
        <w:t>MOD</w:t>
      </w:r>
      <w:r w:rsidRPr="00D764C5">
        <w:tab/>
        <w:t>AFCP/28A23A1A2/7</w:t>
      </w:r>
    </w:p>
    <w:p w:rsidR="00C131DF" w:rsidRPr="00D764C5" w:rsidRDefault="00C131DF" w:rsidP="00C131DF">
      <w:pPr>
        <w:pStyle w:val="TableNo"/>
      </w:pPr>
      <w:r w:rsidRPr="00D764C5">
        <w:t>TABLE 5-1</w:t>
      </w:r>
      <w:r w:rsidRPr="00D764C5">
        <w:rPr>
          <w:sz w:val="16"/>
          <w:szCs w:val="16"/>
        </w:rPr>
        <w:t>     (</w:t>
      </w:r>
      <w:r w:rsidRPr="00D764C5">
        <w:rPr>
          <w:caps w:val="0"/>
          <w:sz w:val="16"/>
          <w:szCs w:val="16"/>
        </w:rPr>
        <w:t>Rev</w:t>
      </w:r>
      <w:r w:rsidRPr="00D764C5">
        <w:rPr>
          <w:sz w:val="16"/>
          <w:szCs w:val="16"/>
        </w:rPr>
        <w:t>.WRC</w:t>
      </w:r>
      <w:r w:rsidRPr="00D764C5">
        <w:rPr>
          <w:sz w:val="16"/>
          <w:szCs w:val="16"/>
        </w:rPr>
        <w:noBreakHyphen/>
      </w:r>
      <w:del w:id="18" w:author="Turnbull, Karen" w:date="2015-09-23T12:28:00Z">
        <w:r w:rsidRPr="00D764C5" w:rsidDel="00C131DF">
          <w:rPr>
            <w:sz w:val="16"/>
            <w:szCs w:val="16"/>
          </w:rPr>
          <w:delText>12</w:delText>
        </w:r>
      </w:del>
      <w:ins w:id="19" w:author="Turnbull, Karen" w:date="2015-09-23T12:28:00Z">
        <w:r w:rsidRPr="00D764C5">
          <w:rPr>
            <w:sz w:val="16"/>
            <w:szCs w:val="16"/>
          </w:rPr>
          <w:t>15</w:t>
        </w:r>
      </w:ins>
      <w:r w:rsidRPr="00D764C5">
        <w:rPr>
          <w:sz w:val="16"/>
          <w:szCs w:val="16"/>
        </w:rPr>
        <w:t>)</w:t>
      </w:r>
    </w:p>
    <w:p w:rsidR="00C131DF" w:rsidRPr="00D764C5" w:rsidRDefault="00C131DF" w:rsidP="00C131DF">
      <w:pPr>
        <w:pStyle w:val="Tabletitle"/>
        <w:spacing w:after="0"/>
      </w:pPr>
      <w:r w:rsidRPr="00D764C5">
        <w:t>Technical conditions for coordination</w:t>
      </w:r>
    </w:p>
    <w:p w:rsidR="00C131DF" w:rsidRPr="00D764C5" w:rsidRDefault="00C131DF" w:rsidP="00C131DF">
      <w:pPr>
        <w:pStyle w:val="Tabletitle"/>
      </w:pPr>
      <w:r w:rsidRPr="00D764C5">
        <w:rPr>
          <w:rFonts w:ascii="Times New Roman"/>
          <w:b w:val="0"/>
        </w:rPr>
        <w:t>(see Article</w:t>
      </w:r>
      <w:r w:rsidRPr="00D764C5">
        <w:rPr>
          <w:rFonts w:ascii="Times New Roman"/>
          <w:b w:val="0"/>
        </w:rPr>
        <w:t> </w:t>
      </w:r>
      <w:r w:rsidRPr="00D764C5">
        <w:rPr>
          <w:bCs/>
        </w:rPr>
        <w:t>9</w:t>
      </w:r>
      <w:r w:rsidRPr="00D764C5">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C131DF" w:rsidRPr="00D764C5" w:rsidTr="00C131DF">
        <w:trPr>
          <w:jc w:val="center"/>
        </w:trPr>
        <w:tc>
          <w:tcPr>
            <w:tcW w:w="1135" w:type="dxa"/>
            <w:vAlign w:val="center"/>
          </w:tcPr>
          <w:p w:rsidR="00C131DF" w:rsidRPr="00D764C5" w:rsidRDefault="00C131DF" w:rsidP="00C131DF">
            <w:pPr>
              <w:pStyle w:val="Tablehead"/>
            </w:pPr>
            <w:r w:rsidRPr="00D764C5">
              <w:t>Reference</w:t>
            </w:r>
            <w:r w:rsidRPr="00D764C5">
              <w:br/>
              <w:t>of</w:t>
            </w:r>
            <w:r w:rsidRPr="00D764C5">
              <w:br/>
              <w:t>Article </w:t>
            </w:r>
            <w:r w:rsidRPr="00D764C5">
              <w:rPr>
                <w:rStyle w:val="Artref"/>
              </w:rPr>
              <w:t>9</w:t>
            </w:r>
          </w:p>
        </w:tc>
        <w:tc>
          <w:tcPr>
            <w:tcW w:w="2552" w:type="dxa"/>
            <w:vAlign w:val="center"/>
          </w:tcPr>
          <w:p w:rsidR="00C131DF" w:rsidRPr="00D764C5" w:rsidRDefault="00C131DF" w:rsidP="00C131DF">
            <w:pPr>
              <w:pStyle w:val="Tablehead"/>
            </w:pPr>
            <w:r w:rsidRPr="00D764C5">
              <w:t>Case</w:t>
            </w:r>
          </w:p>
        </w:tc>
        <w:tc>
          <w:tcPr>
            <w:tcW w:w="2552" w:type="dxa"/>
            <w:tcBorders>
              <w:bottom w:val="single" w:sz="4" w:space="0" w:color="auto"/>
            </w:tcBorders>
            <w:vAlign w:val="center"/>
          </w:tcPr>
          <w:p w:rsidR="00C131DF" w:rsidRPr="00D764C5" w:rsidRDefault="00C131DF" w:rsidP="00C131DF">
            <w:pPr>
              <w:pStyle w:val="Tablehead"/>
            </w:pPr>
            <w:r w:rsidRPr="00D764C5">
              <w:t>Frequency bands</w:t>
            </w:r>
            <w:r w:rsidRPr="00D764C5">
              <w:br/>
              <w:t>(and Region) of the service for which coordination</w:t>
            </w:r>
            <w:r w:rsidRPr="00D764C5">
              <w:br/>
              <w:t>is sought</w:t>
            </w:r>
          </w:p>
        </w:tc>
        <w:tc>
          <w:tcPr>
            <w:tcW w:w="3683" w:type="dxa"/>
            <w:tcBorders>
              <w:bottom w:val="single" w:sz="4" w:space="0" w:color="auto"/>
            </w:tcBorders>
            <w:vAlign w:val="center"/>
          </w:tcPr>
          <w:p w:rsidR="00C131DF" w:rsidRPr="00D764C5" w:rsidRDefault="00C131DF" w:rsidP="00C131DF">
            <w:pPr>
              <w:pStyle w:val="Tablehead"/>
            </w:pPr>
            <w:r w:rsidRPr="00D764C5">
              <w:t>Threshold/condition</w:t>
            </w:r>
          </w:p>
        </w:tc>
        <w:tc>
          <w:tcPr>
            <w:tcW w:w="1985" w:type="dxa"/>
            <w:vAlign w:val="center"/>
          </w:tcPr>
          <w:p w:rsidR="00C131DF" w:rsidRPr="00D764C5" w:rsidRDefault="00C131DF" w:rsidP="00C131DF">
            <w:pPr>
              <w:pStyle w:val="Tablehead"/>
            </w:pPr>
            <w:r w:rsidRPr="00D764C5">
              <w:t xml:space="preserve">Calculation </w:t>
            </w:r>
            <w:r w:rsidRPr="00D764C5">
              <w:br/>
              <w:t>method</w:t>
            </w:r>
          </w:p>
        </w:tc>
        <w:tc>
          <w:tcPr>
            <w:tcW w:w="2552" w:type="dxa"/>
            <w:vAlign w:val="center"/>
          </w:tcPr>
          <w:p w:rsidR="00C131DF" w:rsidRPr="00D764C5" w:rsidRDefault="00C131DF" w:rsidP="00C131DF">
            <w:pPr>
              <w:pStyle w:val="Tablehead"/>
            </w:pPr>
            <w:r w:rsidRPr="00D764C5">
              <w:t>Remarks</w:t>
            </w:r>
          </w:p>
        </w:tc>
      </w:tr>
      <w:tr w:rsidR="00C131DF" w:rsidRPr="00D764C5" w:rsidTr="00C131DF">
        <w:trPr>
          <w:jc w:val="center"/>
        </w:trPr>
        <w:tc>
          <w:tcPr>
            <w:tcW w:w="1135" w:type="dxa"/>
            <w:vMerge w:val="restart"/>
          </w:tcPr>
          <w:p w:rsidR="00C131DF" w:rsidRPr="00D764C5" w:rsidRDefault="00C131DF" w:rsidP="00C131DF">
            <w:pPr>
              <w:pStyle w:val="Tabletext"/>
            </w:pPr>
            <w:r w:rsidRPr="00D764C5">
              <w:t>No. </w:t>
            </w:r>
            <w:r w:rsidRPr="00D764C5">
              <w:rPr>
                <w:rStyle w:val="Artref"/>
                <w:b/>
                <w:bCs/>
              </w:rPr>
              <w:t>9.7</w:t>
            </w:r>
            <w:r w:rsidRPr="00D764C5">
              <w:br/>
              <w:t>GSO/GSO</w:t>
            </w:r>
          </w:p>
        </w:tc>
        <w:tc>
          <w:tcPr>
            <w:tcW w:w="2552" w:type="dxa"/>
            <w:vMerge w:val="restart"/>
          </w:tcPr>
          <w:p w:rsidR="00C131DF" w:rsidRPr="00D764C5" w:rsidRDefault="00C131DF" w:rsidP="00C131DF">
            <w:pPr>
              <w:pStyle w:val="Tabletext"/>
            </w:pPr>
            <w:r w:rsidRPr="00D764C5">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C131DF" w:rsidRPr="00D764C5" w:rsidRDefault="00C131DF" w:rsidP="00C131DF">
            <w:pPr>
              <w:pStyle w:val="TabletextHanging0"/>
              <w:rPr>
                <w:lang w:val="en-GB"/>
              </w:rPr>
            </w:pPr>
            <w:r w:rsidRPr="00D764C5">
              <w:rPr>
                <w:lang w:val="en-GB"/>
              </w:rPr>
              <w:t>1)</w:t>
            </w:r>
            <w:r w:rsidRPr="00D764C5">
              <w:rPr>
                <w:lang w:val="en-GB"/>
              </w:rPr>
              <w:tab/>
              <w:t>3 400-4 200 MHz</w:t>
            </w:r>
            <w:r w:rsidRPr="00D764C5">
              <w:rPr>
                <w:lang w:val="en-GB"/>
              </w:rPr>
              <w:br/>
              <w:t>5 725-5 850 MHz (Region 1) and</w:t>
            </w:r>
            <w:r w:rsidRPr="00D764C5">
              <w:rPr>
                <w:lang w:val="en-GB"/>
              </w:rPr>
              <w:br/>
              <w:t>5 850-6 725 MHz</w:t>
            </w:r>
            <w:r w:rsidRPr="00D764C5">
              <w:rPr>
                <w:lang w:val="en-GB"/>
              </w:rPr>
              <w:br/>
              <w:t>7 025-7 075 MHz</w:t>
            </w:r>
          </w:p>
        </w:tc>
        <w:tc>
          <w:tcPr>
            <w:tcW w:w="3683" w:type="dxa"/>
            <w:tcBorders>
              <w:bottom w:val="nil"/>
            </w:tcBorders>
          </w:tcPr>
          <w:p w:rsidR="00C131DF" w:rsidRPr="00D764C5" w:rsidRDefault="00C131DF" w:rsidP="00C131DF">
            <w:pPr>
              <w:pStyle w:val="Tabletext"/>
            </w:pPr>
            <w:r w:rsidRPr="00D764C5">
              <w:t>i)</w:t>
            </w:r>
            <w:r w:rsidRPr="00D764C5">
              <w:tab/>
              <w:t>Bandwidth overlap, and</w:t>
            </w:r>
          </w:p>
          <w:p w:rsidR="00C131DF" w:rsidRPr="00D764C5" w:rsidRDefault="00C131DF" w:rsidP="00C131DF">
            <w:pPr>
              <w:pStyle w:val="TabletextHanging0"/>
              <w:rPr>
                <w:lang w:val="en-GB"/>
              </w:rPr>
            </w:pPr>
            <w:r w:rsidRPr="00D764C5">
              <w:rPr>
                <w:lang w:val="en-GB"/>
              </w:rPr>
              <w:t>ii)</w:t>
            </w:r>
            <w:r w:rsidRPr="00D764C5">
              <w:rPr>
                <w:lang w:val="en-GB"/>
              </w:rPr>
              <w:tab/>
              <w:t>any network in the fixed-satellite service (FSS) and any associated space operation functions (see No. </w:t>
            </w:r>
            <w:r w:rsidRPr="00D764C5">
              <w:rPr>
                <w:rStyle w:val="Artref"/>
                <w:b/>
                <w:bCs/>
                <w:lang w:val="en-GB"/>
              </w:rPr>
              <w:t>1.23</w:t>
            </w:r>
            <w:r w:rsidRPr="00D764C5">
              <w:rPr>
                <w:lang w:val="en-GB"/>
              </w:rPr>
              <w:t xml:space="preserve">) with a space station within an orbital arc of </w:t>
            </w:r>
            <w:r w:rsidRPr="00D764C5">
              <w:rPr>
                <w:lang w:val="en-GB"/>
              </w:rPr>
              <w:sym w:font="Symbol" w:char="F0B1"/>
            </w:r>
            <w:del w:id="20" w:author="Turnbull, Karen" w:date="2015-09-23T12:28:00Z">
              <w:r w:rsidRPr="00D764C5" w:rsidDel="00C131DF">
                <w:rPr>
                  <w:lang w:val="en-GB"/>
                </w:rPr>
                <w:delText>8</w:delText>
              </w:r>
            </w:del>
            <w:ins w:id="21" w:author="Turnbull, Karen" w:date="2015-09-23T12:28:00Z">
              <w:r w:rsidRPr="00D764C5">
                <w:rPr>
                  <w:lang w:val="en-GB"/>
                </w:rPr>
                <w:t>6</w:t>
              </w:r>
            </w:ins>
            <w:r w:rsidRPr="00D764C5">
              <w:rPr>
                <w:lang w:val="en-GB"/>
              </w:rPr>
              <w:t>° of the nominal orbital position of a proposed network in the FSS</w:t>
            </w:r>
          </w:p>
        </w:tc>
        <w:tc>
          <w:tcPr>
            <w:tcW w:w="1985" w:type="dxa"/>
            <w:vMerge w:val="restart"/>
          </w:tcPr>
          <w:p w:rsidR="00C131DF" w:rsidRPr="00D764C5" w:rsidRDefault="00C131DF" w:rsidP="00C131DF">
            <w:pPr>
              <w:pStyle w:val="Tabletext"/>
            </w:pPr>
          </w:p>
        </w:tc>
        <w:tc>
          <w:tcPr>
            <w:tcW w:w="2552" w:type="dxa"/>
            <w:vMerge w:val="restart"/>
          </w:tcPr>
          <w:p w:rsidR="00C131DF" w:rsidRPr="00D764C5" w:rsidRDefault="00C131DF" w:rsidP="00C131DF">
            <w:pPr>
              <w:pStyle w:val="Tabletext"/>
            </w:pPr>
            <w:r w:rsidRPr="00D764C5">
              <w:t>With respect to the space services listed in the threshold/condition column in the bands in 1), 2), 3), 4), 5), 6), 7) and 8), an administration may request, pursuant to No. </w:t>
            </w:r>
            <w:r w:rsidRPr="00D764C5">
              <w:rPr>
                <w:rStyle w:val="Artref"/>
                <w:b/>
                <w:bCs/>
              </w:rPr>
              <w:t>9.41</w:t>
            </w:r>
            <w:r w:rsidRPr="00D764C5">
              <w:t xml:space="preserve">, to be included in requests for coordination, indicating the networks for which the value of </w:t>
            </w:r>
            <w:r w:rsidRPr="00D764C5">
              <w:sym w:font="Symbol" w:char="F044"/>
            </w:r>
            <w:r w:rsidRPr="00D764C5">
              <w:rPr>
                <w:i/>
                <w:iCs/>
              </w:rPr>
              <w:t>T</w:t>
            </w:r>
            <w:r w:rsidRPr="00D764C5">
              <w:t>/</w:t>
            </w:r>
            <w:r w:rsidRPr="00D764C5">
              <w:rPr>
                <w:i/>
                <w:iCs/>
              </w:rPr>
              <w:t>T</w:t>
            </w:r>
            <w:r w:rsidRPr="00D764C5">
              <w:t xml:space="preserve"> calculated by the method in § 2.2.1.2 and 3.2 of Appendix </w:t>
            </w:r>
            <w:r w:rsidRPr="00D764C5">
              <w:rPr>
                <w:rStyle w:val="Appref"/>
                <w:b/>
                <w:bCs/>
              </w:rPr>
              <w:t>8</w:t>
            </w:r>
            <w:r w:rsidRPr="00D764C5">
              <w:t xml:space="preserve"> exceeds 6%. When the Bureau, on request by an affected administration, studies this information pursuant to No. </w:t>
            </w:r>
            <w:r w:rsidRPr="00D764C5">
              <w:rPr>
                <w:rStyle w:val="Artref"/>
                <w:b/>
                <w:bCs/>
              </w:rPr>
              <w:t>9.42</w:t>
            </w:r>
            <w:r w:rsidRPr="00D764C5">
              <w:t>, the calculation method given in § 2.2.1.2 and 3.2 of Appendix </w:t>
            </w:r>
            <w:r w:rsidRPr="00D764C5">
              <w:rPr>
                <w:rStyle w:val="Appref"/>
                <w:b/>
                <w:bCs/>
              </w:rPr>
              <w:t>8</w:t>
            </w:r>
            <w:r w:rsidRPr="00D764C5">
              <w:t xml:space="preserve"> shall be used</w:t>
            </w:r>
          </w:p>
        </w:tc>
      </w:tr>
      <w:tr w:rsidR="00C131DF" w:rsidRPr="00D764C5" w:rsidTr="00C131DF">
        <w:trPr>
          <w:jc w:val="center"/>
        </w:trPr>
        <w:tc>
          <w:tcPr>
            <w:tcW w:w="1135" w:type="dxa"/>
            <w:vMerge/>
            <w:vAlign w:val="center"/>
          </w:tcPr>
          <w:p w:rsidR="00C131DF" w:rsidRPr="00D764C5" w:rsidRDefault="00C131DF" w:rsidP="00C131DF">
            <w:pPr>
              <w:pStyle w:val="Tabletext"/>
              <w:spacing w:before="80" w:after="80"/>
            </w:pPr>
          </w:p>
        </w:tc>
        <w:tc>
          <w:tcPr>
            <w:tcW w:w="2552" w:type="dxa"/>
            <w:vMerge/>
            <w:vAlign w:val="center"/>
          </w:tcPr>
          <w:p w:rsidR="00C131DF" w:rsidRPr="00D764C5" w:rsidRDefault="00C131DF" w:rsidP="00C131DF">
            <w:pPr>
              <w:pStyle w:val="Tabletext"/>
              <w:spacing w:before="80" w:after="80"/>
            </w:pPr>
          </w:p>
        </w:tc>
        <w:tc>
          <w:tcPr>
            <w:tcW w:w="2552" w:type="dxa"/>
            <w:tcBorders>
              <w:top w:val="nil"/>
            </w:tcBorders>
          </w:tcPr>
          <w:p w:rsidR="00C131DF" w:rsidRPr="00D764C5" w:rsidRDefault="00C131DF" w:rsidP="00C131DF">
            <w:pPr>
              <w:pStyle w:val="TabletextHanging0"/>
              <w:rPr>
                <w:lang w:val="en-GB"/>
              </w:rPr>
            </w:pPr>
            <w:r w:rsidRPr="00D764C5">
              <w:rPr>
                <w:lang w:val="en-GB"/>
              </w:rPr>
              <w:t>2)</w:t>
            </w:r>
            <w:r w:rsidRPr="00D764C5">
              <w:rPr>
                <w:lang w:val="en-GB"/>
              </w:rPr>
              <w:tab/>
              <w:t>10.95-11.2 GHz</w:t>
            </w:r>
            <w:r w:rsidRPr="00D764C5">
              <w:rPr>
                <w:lang w:val="en-GB"/>
              </w:rPr>
              <w:br/>
              <w:t>11.45</w:t>
            </w:r>
            <w:r w:rsidRPr="00D764C5">
              <w:rPr>
                <w:lang w:val="en-GB"/>
              </w:rPr>
              <w:noBreakHyphen/>
              <w:t xml:space="preserve">11.7 GHz </w:t>
            </w:r>
            <w:r w:rsidRPr="00D764C5">
              <w:rPr>
                <w:lang w:val="en-GB"/>
              </w:rPr>
              <w:br/>
              <w:t xml:space="preserve">11.7-12.2 GHz </w:t>
            </w:r>
            <w:r w:rsidRPr="00D764C5">
              <w:rPr>
                <w:lang w:val="en-GB"/>
              </w:rPr>
              <w:br/>
              <w:t>(Region 2)</w:t>
            </w:r>
            <w:r w:rsidRPr="00D764C5">
              <w:rPr>
                <w:lang w:val="en-GB"/>
              </w:rPr>
              <w:br/>
              <w:t xml:space="preserve">12.2-12.5 GHz </w:t>
            </w:r>
            <w:r w:rsidRPr="00D764C5">
              <w:rPr>
                <w:lang w:val="en-GB"/>
              </w:rPr>
              <w:br/>
              <w:t>(Region 3)</w:t>
            </w:r>
            <w:r w:rsidRPr="00D764C5">
              <w:rPr>
                <w:lang w:val="en-GB"/>
              </w:rPr>
              <w:br/>
              <w:t>12.5</w:t>
            </w:r>
            <w:r w:rsidRPr="00D764C5">
              <w:rPr>
                <w:lang w:val="en-GB"/>
              </w:rPr>
              <w:noBreakHyphen/>
              <w:t>12.75 GHz (Regions 1 and 3) 12.7</w:t>
            </w:r>
            <w:r w:rsidRPr="00D764C5">
              <w:rPr>
                <w:lang w:val="en-GB"/>
              </w:rPr>
              <w:noBreakHyphen/>
              <w:t xml:space="preserve">12.75 GHz (Region 2) and </w:t>
            </w:r>
            <w:r w:rsidRPr="00D764C5">
              <w:rPr>
                <w:lang w:val="en-GB"/>
              </w:rPr>
              <w:br/>
              <w:t>13.75</w:t>
            </w:r>
            <w:r w:rsidRPr="00D764C5">
              <w:rPr>
                <w:lang w:val="en-GB"/>
              </w:rPr>
              <w:noBreakHyphen/>
              <w:t>14.5 GHz</w:t>
            </w:r>
          </w:p>
        </w:tc>
        <w:tc>
          <w:tcPr>
            <w:tcW w:w="3683" w:type="dxa"/>
            <w:tcBorders>
              <w:top w:val="nil"/>
            </w:tcBorders>
          </w:tcPr>
          <w:p w:rsidR="00C131DF" w:rsidRPr="00D764C5" w:rsidRDefault="00C131DF" w:rsidP="00C131DF">
            <w:pPr>
              <w:pStyle w:val="Tabletext"/>
            </w:pPr>
            <w:r w:rsidRPr="00D764C5">
              <w:t>i)</w:t>
            </w:r>
            <w:r w:rsidRPr="00D764C5">
              <w:tab/>
              <w:t>Bandwidth overlap, and</w:t>
            </w:r>
          </w:p>
          <w:p w:rsidR="00C131DF" w:rsidRPr="00D764C5" w:rsidRDefault="00C131DF" w:rsidP="00C131DF">
            <w:pPr>
              <w:pStyle w:val="TabletextHanging0"/>
              <w:rPr>
                <w:lang w:val="en-GB"/>
              </w:rPr>
            </w:pPr>
            <w:r w:rsidRPr="00D764C5">
              <w:rPr>
                <w:lang w:val="en-GB"/>
              </w:rPr>
              <w:t>ii)</w:t>
            </w:r>
            <w:r w:rsidRPr="00D764C5">
              <w:rPr>
                <w:lang w:val="en-GB"/>
              </w:rPr>
              <w:tab/>
              <w:t>any network in the FSS or broadcasting-satellite service (BSS), not subject to a Plan, and any associated space operation functions (see No. </w:t>
            </w:r>
            <w:r w:rsidRPr="00D764C5">
              <w:rPr>
                <w:rStyle w:val="Artref"/>
                <w:b/>
                <w:bCs/>
                <w:lang w:val="en-GB"/>
              </w:rPr>
              <w:t>1.23</w:t>
            </w:r>
            <w:r w:rsidRPr="00D764C5">
              <w:rPr>
                <w:lang w:val="en-GB"/>
              </w:rPr>
              <w:t xml:space="preserve">) with a space station within an orbital arc of </w:t>
            </w:r>
            <w:r w:rsidRPr="00D764C5">
              <w:rPr>
                <w:rStyle w:val="TabletextChar"/>
              </w:rPr>
              <w:sym w:font="Symbol" w:char="F0B1"/>
            </w:r>
            <w:del w:id="22" w:author="Turnbull, Karen" w:date="2015-09-23T12:28:00Z">
              <w:r w:rsidRPr="00D764C5" w:rsidDel="00C131DF">
                <w:rPr>
                  <w:lang w:val="en-GB"/>
                </w:rPr>
                <w:delText>7</w:delText>
              </w:r>
            </w:del>
            <w:ins w:id="23" w:author="Turnbull, Karen" w:date="2015-09-23T12:28:00Z">
              <w:r w:rsidRPr="00D764C5">
                <w:rPr>
                  <w:lang w:val="en-GB"/>
                </w:rPr>
                <w:t>5</w:t>
              </w:r>
            </w:ins>
            <w:r w:rsidRPr="00D764C5">
              <w:rPr>
                <w:lang w:val="en-GB"/>
              </w:rPr>
              <w:t>° of the nominal orbital position of a proposed network in the FSS or BSS, not subject to a Plan</w:t>
            </w:r>
          </w:p>
        </w:tc>
        <w:tc>
          <w:tcPr>
            <w:tcW w:w="1985" w:type="dxa"/>
            <w:vMerge/>
            <w:vAlign w:val="center"/>
          </w:tcPr>
          <w:p w:rsidR="00C131DF" w:rsidRPr="00D764C5" w:rsidRDefault="00C131DF" w:rsidP="00C131DF">
            <w:pPr>
              <w:pStyle w:val="Tabletext"/>
              <w:spacing w:before="80" w:after="80"/>
            </w:pPr>
          </w:p>
        </w:tc>
        <w:tc>
          <w:tcPr>
            <w:tcW w:w="2552" w:type="dxa"/>
            <w:vMerge/>
            <w:vAlign w:val="center"/>
          </w:tcPr>
          <w:p w:rsidR="00C131DF" w:rsidRPr="00D764C5" w:rsidRDefault="00C131DF" w:rsidP="00C131DF">
            <w:pPr>
              <w:pStyle w:val="Tabletext"/>
              <w:spacing w:before="80" w:after="80"/>
            </w:pPr>
          </w:p>
        </w:tc>
      </w:tr>
    </w:tbl>
    <w:p w:rsidR="002128EB" w:rsidRDefault="002128EB">
      <w:pPr>
        <w:pStyle w:val="Reasons"/>
      </w:pPr>
    </w:p>
    <w:p w:rsidR="00CD1ADF" w:rsidRDefault="00CD1ADF" w:rsidP="0032202E">
      <w:pPr>
        <w:pStyle w:val="Reasons"/>
      </w:pPr>
    </w:p>
    <w:p w:rsidR="00CD1ADF" w:rsidRDefault="00CD1ADF">
      <w:pPr>
        <w:jc w:val="center"/>
      </w:pPr>
      <w:r>
        <w:t>______________</w:t>
      </w:r>
    </w:p>
    <w:sectPr w:rsidR="00CD1ADF">
      <w:footerReference w:type="even" r:id="rId17"/>
      <w:footerReference w:type="first" r:id="rId18"/>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1DF" w:rsidRDefault="00C131DF">
      <w:r>
        <w:separator/>
      </w:r>
    </w:p>
  </w:endnote>
  <w:endnote w:type="continuationSeparator" w:id="0">
    <w:p w:rsidR="00C131DF" w:rsidRDefault="00C1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DF" w:rsidRDefault="00C131DF">
    <w:pPr>
      <w:framePr w:wrap="around" w:vAnchor="text" w:hAnchor="margin" w:xAlign="right" w:y="1"/>
    </w:pPr>
    <w:r>
      <w:fldChar w:fldCharType="begin"/>
    </w:r>
    <w:r>
      <w:instrText xml:space="preserve">PAGE  </w:instrText>
    </w:r>
    <w:r>
      <w:fldChar w:fldCharType="end"/>
    </w:r>
  </w:p>
  <w:p w:rsidR="00C131DF" w:rsidRPr="0041348E" w:rsidRDefault="00C131DF">
    <w:pPr>
      <w:ind w:right="360"/>
      <w:rPr>
        <w:lang w:val="en-US"/>
      </w:rPr>
    </w:pPr>
    <w:r>
      <w:fldChar w:fldCharType="begin"/>
    </w:r>
    <w:r w:rsidRPr="0041348E">
      <w:rPr>
        <w:lang w:val="en-US"/>
      </w:rPr>
      <w:instrText xml:space="preserve"> FILENAME \p  \* MERGEFORMAT </w:instrText>
    </w:r>
    <w:r>
      <w:fldChar w:fldCharType="separate"/>
    </w:r>
    <w:r w:rsidR="0084726D">
      <w:rPr>
        <w:noProof/>
        <w:lang w:val="en-US"/>
      </w:rPr>
      <w:t>P:\ENG\ITU-R\CONF-R\CMR15\000\028ADD23ADD01ADD02E.docx</w:t>
    </w:r>
    <w:r>
      <w:fldChar w:fldCharType="end"/>
    </w:r>
    <w:r w:rsidRPr="0041348E">
      <w:rPr>
        <w:lang w:val="en-US"/>
      </w:rPr>
      <w:tab/>
    </w:r>
    <w:r>
      <w:fldChar w:fldCharType="begin"/>
    </w:r>
    <w:r>
      <w:instrText xml:space="preserve"> SAVEDATE \@ DD.MM.YY </w:instrText>
    </w:r>
    <w:r>
      <w:fldChar w:fldCharType="separate"/>
    </w:r>
    <w:r w:rsidR="0084726D">
      <w:rPr>
        <w:noProof/>
      </w:rPr>
      <w:t>28.09.15</w:t>
    </w:r>
    <w:r>
      <w:fldChar w:fldCharType="end"/>
    </w:r>
    <w:r w:rsidRPr="0041348E">
      <w:rPr>
        <w:lang w:val="en-US"/>
      </w:rPr>
      <w:tab/>
    </w:r>
    <w:r>
      <w:fldChar w:fldCharType="begin"/>
    </w:r>
    <w:r>
      <w:instrText xml:space="preserve"> PRINTDATE \@ DD.MM.YY </w:instrText>
    </w:r>
    <w:r>
      <w:fldChar w:fldCharType="separate"/>
    </w:r>
    <w:r w:rsidR="0084726D">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DF" w:rsidRDefault="00CD1ADF" w:rsidP="00CD1ADF">
    <w:pPr>
      <w:pStyle w:val="Footer"/>
    </w:pPr>
    <w:r>
      <w:fldChar w:fldCharType="begin"/>
    </w:r>
    <w:r w:rsidRPr="0041348E">
      <w:rPr>
        <w:lang w:val="en-US"/>
      </w:rPr>
      <w:instrText xml:space="preserve"> FILENAME \p  \* MERGEFORMAT </w:instrText>
    </w:r>
    <w:r>
      <w:fldChar w:fldCharType="separate"/>
    </w:r>
    <w:r w:rsidR="0084726D">
      <w:rPr>
        <w:lang w:val="en-US"/>
      </w:rPr>
      <w:t>P:\ENG\ITU-R\CONF-R\CMR15\000\028ADD23ADD01ADD02E.docx</w:t>
    </w:r>
    <w:r>
      <w:fldChar w:fldCharType="end"/>
    </w:r>
    <w:r>
      <w:t xml:space="preserve"> (387047)</w:t>
    </w:r>
    <w:r w:rsidRPr="0041348E">
      <w:rPr>
        <w:lang w:val="en-US"/>
      </w:rPr>
      <w:tab/>
    </w:r>
    <w:r>
      <w:fldChar w:fldCharType="begin"/>
    </w:r>
    <w:r>
      <w:instrText xml:space="preserve"> SAVEDATE \@ DD.MM.YY </w:instrText>
    </w:r>
    <w:r>
      <w:fldChar w:fldCharType="separate"/>
    </w:r>
    <w:r w:rsidR="0084726D">
      <w:t>28.09.15</w:t>
    </w:r>
    <w:r>
      <w:fldChar w:fldCharType="end"/>
    </w:r>
    <w:r w:rsidRPr="0041348E">
      <w:rPr>
        <w:lang w:val="en-US"/>
      </w:rPr>
      <w:tab/>
    </w:r>
    <w:r>
      <w:fldChar w:fldCharType="begin"/>
    </w:r>
    <w:r>
      <w:instrText xml:space="preserve"> PRINTDATE \@ DD.MM.YY </w:instrText>
    </w:r>
    <w:r>
      <w:fldChar w:fldCharType="separate"/>
    </w:r>
    <w:r w:rsidR="0084726D">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DF" w:rsidRDefault="00CD1ADF" w:rsidP="00CD1ADF">
    <w:pPr>
      <w:pStyle w:val="Footer"/>
    </w:pPr>
    <w:r>
      <w:fldChar w:fldCharType="begin"/>
    </w:r>
    <w:r w:rsidRPr="0041348E">
      <w:rPr>
        <w:lang w:val="en-US"/>
      </w:rPr>
      <w:instrText xml:space="preserve"> FILENAME \p  \* MERGEFORMAT </w:instrText>
    </w:r>
    <w:r>
      <w:fldChar w:fldCharType="separate"/>
    </w:r>
    <w:r w:rsidR="0084726D">
      <w:rPr>
        <w:lang w:val="en-US"/>
      </w:rPr>
      <w:t>P:\ENG\ITU-R\CONF-R\CMR15\000\028ADD23ADD01ADD02E.docx</w:t>
    </w:r>
    <w:r>
      <w:fldChar w:fldCharType="end"/>
    </w:r>
    <w:r>
      <w:t xml:space="preserve"> (387047)</w:t>
    </w:r>
    <w:r w:rsidRPr="0041348E">
      <w:rPr>
        <w:lang w:val="en-US"/>
      </w:rPr>
      <w:tab/>
    </w:r>
    <w:r>
      <w:fldChar w:fldCharType="begin"/>
    </w:r>
    <w:r>
      <w:instrText xml:space="preserve"> SAVEDATE \@ DD.MM.YY </w:instrText>
    </w:r>
    <w:r>
      <w:fldChar w:fldCharType="separate"/>
    </w:r>
    <w:r w:rsidR="0084726D">
      <w:t>28.09.15</w:t>
    </w:r>
    <w:r>
      <w:fldChar w:fldCharType="end"/>
    </w:r>
    <w:r w:rsidRPr="0041348E">
      <w:rPr>
        <w:lang w:val="en-US"/>
      </w:rPr>
      <w:tab/>
    </w:r>
    <w:r>
      <w:fldChar w:fldCharType="begin"/>
    </w:r>
    <w:r>
      <w:instrText xml:space="preserve"> PRINTDATE \@ DD.MM.YY </w:instrText>
    </w:r>
    <w:r>
      <w:fldChar w:fldCharType="separate"/>
    </w:r>
    <w:r w:rsidR="0084726D">
      <w:t>28.09.15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DF" w:rsidRDefault="00C131DF">
    <w:pPr>
      <w:framePr w:wrap="around" w:vAnchor="text" w:hAnchor="margin" w:xAlign="right" w:y="1"/>
    </w:pPr>
    <w:r>
      <w:fldChar w:fldCharType="begin"/>
    </w:r>
    <w:r>
      <w:instrText xml:space="preserve">PAGE  </w:instrText>
    </w:r>
    <w:r>
      <w:fldChar w:fldCharType="end"/>
    </w:r>
  </w:p>
  <w:p w:rsidR="00C131DF" w:rsidRPr="0041348E" w:rsidRDefault="00C131DF">
    <w:pPr>
      <w:ind w:right="360"/>
      <w:rPr>
        <w:lang w:val="en-US"/>
      </w:rPr>
    </w:pPr>
    <w:r>
      <w:fldChar w:fldCharType="begin"/>
    </w:r>
    <w:r w:rsidRPr="0041348E">
      <w:rPr>
        <w:lang w:val="en-US"/>
      </w:rPr>
      <w:instrText xml:space="preserve"> FILENAME \p  \* MERGEFORMAT </w:instrText>
    </w:r>
    <w:r>
      <w:fldChar w:fldCharType="separate"/>
    </w:r>
    <w:r w:rsidR="0084726D">
      <w:rPr>
        <w:noProof/>
        <w:lang w:val="en-US"/>
      </w:rPr>
      <w:t>P:\ENG\ITU-R\CONF-R\CMR15\000\028ADD23ADD01ADD02E.docx</w:t>
    </w:r>
    <w:r>
      <w:fldChar w:fldCharType="end"/>
    </w:r>
    <w:r w:rsidRPr="0041348E">
      <w:rPr>
        <w:lang w:val="en-US"/>
      </w:rPr>
      <w:tab/>
    </w:r>
    <w:r>
      <w:fldChar w:fldCharType="begin"/>
    </w:r>
    <w:r>
      <w:instrText xml:space="preserve"> SAVEDATE \@ DD.MM.YY </w:instrText>
    </w:r>
    <w:r>
      <w:fldChar w:fldCharType="separate"/>
    </w:r>
    <w:r w:rsidR="0084726D">
      <w:rPr>
        <w:noProof/>
      </w:rPr>
      <w:t>28.09.15</w:t>
    </w:r>
    <w:r>
      <w:fldChar w:fldCharType="end"/>
    </w:r>
    <w:r w:rsidRPr="0041348E">
      <w:rPr>
        <w:lang w:val="en-US"/>
      </w:rPr>
      <w:tab/>
    </w:r>
    <w:r>
      <w:fldChar w:fldCharType="begin"/>
    </w:r>
    <w:r>
      <w:instrText xml:space="preserve"> PRINTDATE \@ DD.MM.YY </w:instrText>
    </w:r>
    <w:r>
      <w:fldChar w:fldCharType="separate"/>
    </w:r>
    <w:r w:rsidR="0084726D">
      <w:rPr>
        <w:noProof/>
      </w:rPr>
      <w:t>28.09.15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DF" w:rsidRPr="0041348E" w:rsidRDefault="00C131DF" w:rsidP="00A30305">
    <w:pPr>
      <w:pStyle w:val="Footer"/>
      <w:rPr>
        <w:lang w:val="en-US"/>
      </w:rPr>
    </w:pPr>
    <w:r>
      <w:fldChar w:fldCharType="begin"/>
    </w:r>
    <w:r w:rsidRPr="0041348E">
      <w:rPr>
        <w:lang w:val="en-US"/>
      </w:rPr>
      <w:instrText xml:space="preserve"> FILENAME \p  \* MERGEFORMAT </w:instrText>
    </w:r>
    <w:r>
      <w:fldChar w:fldCharType="separate"/>
    </w:r>
    <w:r w:rsidR="0084726D">
      <w:rPr>
        <w:lang w:val="en-US"/>
      </w:rPr>
      <w:t>P:\ENG\ITU-R\CONF-R\CMR15\000\028ADD23ADD01ADD02E.docx</w:t>
    </w:r>
    <w:r>
      <w:fldChar w:fldCharType="end"/>
    </w:r>
    <w:r w:rsidRPr="0041348E">
      <w:rPr>
        <w:lang w:val="en-US"/>
      </w:rPr>
      <w:tab/>
    </w:r>
    <w:r>
      <w:fldChar w:fldCharType="begin"/>
    </w:r>
    <w:r>
      <w:instrText xml:space="preserve"> SAVEDATE \@ DD.MM.YY </w:instrText>
    </w:r>
    <w:r>
      <w:fldChar w:fldCharType="separate"/>
    </w:r>
    <w:r w:rsidR="0084726D">
      <w:t>28.09.15</w:t>
    </w:r>
    <w:r>
      <w:fldChar w:fldCharType="end"/>
    </w:r>
    <w:r w:rsidRPr="0041348E">
      <w:rPr>
        <w:lang w:val="en-US"/>
      </w:rPr>
      <w:tab/>
    </w:r>
    <w:r>
      <w:fldChar w:fldCharType="begin"/>
    </w:r>
    <w:r>
      <w:instrText xml:space="preserve"> PRINTDATE \@ DD.MM.YY </w:instrText>
    </w:r>
    <w:r>
      <w:fldChar w:fldCharType="separate"/>
    </w:r>
    <w:r w:rsidR="0084726D">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1DF" w:rsidRDefault="00C131DF">
      <w:r>
        <w:rPr>
          <w:b/>
        </w:rPr>
        <w:t>_______________</w:t>
      </w:r>
    </w:p>
  </w:footnote>
  <w:footnote w:type="continuationSeparator" w:id="0">
    <w:p w:rsidR="00C131DF" w:rsidRDefault="00C13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DF" w:rsidRDefault="00C131DF" w:rsidP="00187BD9">
    <w:pPr>
      <w:pStyle w:val="Header"/>
    </w:pPr>
    <w:r>
      <w:fldChar w:fldCharType="begin"/>
    </w:r>
    <w:r>
      <w:instrText xml:space="preserve"> PAGE  \* MERGEFORMAT </w:instrText>
    </w:r>
    <w:r>
      <w:fldChar w:fldCharType="separate"/>
    </w:r>
    <w:r w:rsidR="0084726D">
      <w:rPr>
        <w:noProof/>
      </w:rPr>
      <w:t>5</w:t>
    </w:r>
    <w:r>
      <w:fldChar w:fldCharType="end"/>
    </w:r>
  </w:p>
  <w:p w:rsidR="00C131DF" w:rsidRPr="00A066F1" w:rsidRDefault="00C131DF" w:rsidP="00241FA2">
    <w:pPr>
      <w:pStyle w:val="Header"/>
    </w:pPr>
    <w:r>
      <w:t>CMR15/28(Add.23)(Add.1)(Add.2)-</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28EB"/>
    <w:rsid w:val="00216B6D"/>
    <w:rsid w:val="00241FA2"/>
    <w:rsid w:val="00271316"/>
    <w:rsid w:val="002B349C"/>
    <w:rsid w:val="002D58BE"/>
    <w:rsid w:val="002D73A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2EFD"/>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4726D"/>
    <w:rsid w:val="00872FC8"/>
    <w:rsid w:val="008845D0"/>
    <w:rsid w:val="00884D60"/>
    <w:rsid w:val="008B43F2"/>
    <w:rsid w:val="008B6CFF"/>
    <w:rsid w:val="009274B4"/>
    <w:rsid w:val="00934EA2"/>
    <w:rsid w:val="00944A5C"/>
    <w:rsid w:val="00952A66"/>
    <w:rsid w:val="009B09D0"/>
    <w:rsid w:val="009B7C9A"/>
    <w:rsid w:val="009C56E5"/>
    <w:rsid w:val="009E5FC8"/>
    <w:rsid w:val="009E687A"/>
    <w:rsid w:val="00A066F1"/>
    <w:rsid w:val="00A141AF"/>
    <w:rsid w:val="00A16D29"/>
    <w:rsid w:val="00A30305"/>
    <w:rsid w:val="00A31D2D"/>
    <w:rsid w:val="00A378C2"/>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31DF"/>
    <w:rsid w:val="00C16A5A"/>
    <w:rsid w:val="00C20466"/>
    <w:rsid w:val="00C214ED"/>
    <w:rsid w:val="00C234E6"/>
    <w:rsid w:val="00C324A8"/>
    <w:rsid w:val="00C54517"/>
    <w:rsid w:val="00C64CD8"/>
    <w:rsid w:val="00C97C68"/>
    <w:rsid w:val="00CA1A47"/>
    <w:rsid w:val="00CB44E5"/>
    <w:rsid w:val="00CC247A"/>
    <w:rsid w:val="00CD1ADF"/>
    <w:rsid w:val="00CE388F"/>
    <w:rsid w:val="00CE5E47"/>
    <w:rsid w:val="00CF020F"/>
    <w:rsid w:val="00CF2B5B"/>
    <w:rsid w:val="00D14CE0"/>
    <w:rsid w:val="00D268B3"/>
    <w:rsid w:val="00D54009"/>
    <w:rsid w:val="00D5651D"/>
    <w:rsid w:val="00D57A34"/>
    <w:rsid w:val="00D74898"/>
    <w:rsid w:val="00D764C5"/>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415C844-DDDE-421D-B268-74D56506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DefaultParagraphFont"/>
    <w:rsid w:val="009B463A"/>
    <w:rPr>
      <w:b/>
      <w:color w:val="auto"/>
    </w:rPr>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ReasonsChar">
    <w:name w:val="Reasons Char"/>
    <w:basedOn w:val="DefaultParagraphFont"/>
    <w:link w:val="Reasons"/>
    <w:locked/>
    <w:rsid w:val="00C131DF"/>
    <w:rPr>
      <w:rFonts w:ascii="Times New Roman" w:hAnsi="Times New Roman"/>
      <w:sz w:val="24"/>
      <w:lang w:val="en-GB" w:eastAsia="en-US"/>
    </w:rPr>
  </w:style>
  <w:style w:type="table" w:styleId="TableGrid">
    <w:name w:val="Table Grid"/>
    <w:basedOn w:val="TableNormal"/>
    <w:uiPriority w:val="59"/>
    <w:rsid w:val="00C131DF"/>
    <w:pPr>
      <w:tabs>
        <w:tab w:val="left" w:pos="1134"/>
        <w:tab w:val="left" w:pos="1871"/>
        <w:tab w:val="left" w:pos="2268"/>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R15-WRC15-C-0028!A23-A1-A2!MSW-E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A46AEE17-99E2-42D7-AE3D-B8DD29AF21D6}">
  <ds:schemaRefs>
    <ds:schemaRef ds:uri="996b2e75-67fd-4955-a3b0-5ab9934cb50b"/>
    <ds:schemaRef ds:uri="http://purl.org/dc/terms/"/>
    <ds:schemaRef ds:uri="32a1a8c5-2265-4ebc-b7a0-2071e2c5c9bb"/>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AC88EB5-3CFC-47C0-B3C1-8EA79B7F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28</TotalTime>
  <Pages>1</Pages>
  <Words>1741</Words>
  <Characters>9359</Characters>
  <Application>Microsoft Office Word</Application>
  <DocSecurity>0</DocSecurity>
  <Lines>315</Lines>
  <Paragraphs>145</Paragraphs>
  <ScaleCrop>false</ScaleCrop>
  <HeadingPairs>
    <vt:vector size="2" baseType="variant">
      <vt:variant>
        <vt:lpstr>Title</vt:lpstr>
      </vt:variant>
      <vt:variant>
        <vt:i4>1</vt:i4>
      </vt:variant>
    </vt:vector>
  </HeadingPairs>
  <TitlesOfParts>
    <vt:vector size="1" baseType="lpstr">
      <vt:lpstr>R15-WRC15-C-0028!A23-A1-A2!MSW-E</vt:lpstr>
    </vt:vector>
  </TitlesOfParts>
  <Manager>General Secretariat - Pool</Manager>
  <Company>International Telecommunication Union (ITU)</Company>
  <LinksUpToDate>false</LinksUpToDate>
  <CharactersWithSpaces>10992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R15-WRC15-C-0028!A23-A1-A2!MSW-E</dc:title>
  <dc:subject>World Radiocommunication Conference - 2015</dc:subject>
  <dc:creator>Documents Proposals Manager (DPM)</dc:creator>
  <cp:keywords>DPM_v5.2015.9.16_prod</cp:keywords>
  <dc:description>Uploaded on 2015.07.06</dc:description>
  <cp:lastModifiedBy>Currie, Jane</cp:lastModifiedBy>
  <cp:revision>7</cp:revision>
  <cp:lastPrinted>2015-09-28T10:08:00Z</cp:lastPrinted>
  <dcterms:created xsi:type="dcterms:W3CDTF">2015-09-23T10:15:00Z</dcterms:created>
  <dcterms:modified xsi:type="dcterms:W3CDTF">2015-09-28T10:08:00Z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