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C61057" w:rsidTr="00C61057">
        <w:trPr>
          <w:cantSplit/>
        </w:trPr>
        <w:tc>
          <w:tcPr>
            <w:tcW w:w="6663" w:type="dxa"/>
          </w:tcPr>
          <w:p w:rsidR="005651C9" w:rsidRPr="00C6105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10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C6105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C6105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C61057">
              <w:rPr>
                <w:rFonts w:ascii="Verdana" w:hAnsi="Verdana"/>
                <w:b/>
                <w:bCs/>
                <w:szCs w:val="22"/>
              </w:rPr>
              <w:t>15)</w:t>
            </w:r>
            <w:r w:rsidRPr="00C6105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C6105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C6105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1057">
              <w:rPr>
                <w:lang w:eastAsia="zh-CN"/>
              </w:rPr>
              <w:drawing>
                <wp:inline distT="0" distB="0" distL="0" distR="0" wp14:anchorId="3BCC405C" wp14:editId="25CDE3C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1057" w:rsidTr="00C6105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C6105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105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C6105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1057" w:rsidTr="00C6105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C6105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C6105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1057" w:rsidTr="00C61057">
        <w:trPr>
          <w:cantSplit/>
        </w:trPr>
        <w:tc>
          <w:tcPr>
            <w:tcW w:w="6663" w:type="dxa"/>
            <w:shd w:val="clear" w:color="auto" w:fill="auto"/>
          </w:tcPr>
          <w:p w:rsidR="005651C9" w:rsidRPr="00C6105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10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C61057" w:rsidRDefault="005A295E" w:rsidP="00C61057">
            <w:pPr>
              <w:tabs>
                <w:tab w:val="left" w:pos="851"/>
              </w:tabs>
              <w:spacing w:before="0"/>
              <w:ind w:right="-142"/>
              <w:rPr>
                <w:rFonts w:ascii="Verdana" w:hAnsi="Verdana"/>
                <w:b/>
                <w:sz w:val="18"/>
                <w:szCs w:val="18"/>
              </w:rPr>
            </w:pPr>
            <w:r w:rsidRPr="00C6105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C6105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C6105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6105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1057" w:rsidTr="00C61057">
        <w:trPr>
          <w:cantSplit/>
        </w:trPr>
        <w:tc>
          <w:tcPr>
            <w:tcW w:w="6663" w:type="dxa"/>
            <w:shd w:val="clear" w:color="auto" w:fill="auto"/>
          </w:tcPr>
          <w:p w:rsidR="000F33D8" w:rsidRPr="00C610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C61057" w:rsidRDefault="000F33D8" w:rsidP="00C61057">
            <w:pPr>
              <w:spacing w:before="0"/>
              <w:ind w:right="-142"/>
              <w:rPr>
                <w:rFonts w:ascii="Verdana" w:hAnsi="Verdana"/>
                <w:sz w:val="18"/>
                <w:szCs w:val="22"/>
              </w:rPr>
            </w:pPr>
            <w:r w:rsidRPr="00C61057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C61057" w:rsidTr="00C61057">
        <w:trPr>
          <w:cantSplit/>
        </w:trPr>
        <w:tc>
          <w:tcPr>
            <w:tcW w:w="6663" w:type="dxa"/>
          </w:tcPr>
          <w:p w:rsidR="000F33D8" w:rsidRPr="00C610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C61057" w:rsidRDefault="000F33D8" w:rsidP="00C61057">
            <w:pPr>
              <w:spacing w:before="0"/>
              <w:ind w:right="-142"/>
              <w:rPr>
                <w:rFonts w:ascii="Verdana" w:hAnsi="Verdana"/>
                <w:sz w:val="18"/>
                <w:szCs w:val="22"/>
              </w:rPr>
            </w:pPr>
            <w:r w:rsidRPr="00C610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1057" w:rsidTr="009546EA">
        <w:trPr>
          <w:cantSplit/>
        </w:trPr>
        <w:tc>
          <w:tcPr>
            <w:tcW w:w="10031" w:type="dxa"/>
            <w:gridSpan w:val="2"/>
          </w:tcPr>
          <w:p w:rsidR="000F33D8" w:rsidRPr="00C6105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1057">
        <w:trPr>
          <w:cantSplit/>
        </w:trPr>
        <w:tc>
          <w:tcPr>
            <w:tcW w:w="10031" w:type="dxa"/>
            <w:gridSpan w:val="2"/>
          </w:tcPr>
          <w:p w:rsidR="000F33D8" w:rsidRPr="00C61057" w:rsidRDefault="000F33D8" w:rsidP="003A76B1">
            <w:pPr>
              <w:pStyle w:val="Source"/>
            </w:pPr>
            <w:bookmarkStart w:id="4" w:name="dsource" w:colFirst="0" w:colLast="0"/>
            <w:r w:rsidRPr="00C61057">
              <w:t>Общие предложения Азиатско-Тихоокеанского сообщества электросвязи</w:t>
            </w:r>
          </w:p>
        </w:tc>
      </w:tr>
      <w:tr w:rsidR="000F33D8" w:rsidRPr="00C61057">
        <w:trPr>
          <w:cantSplit/>
        </w:trPr>
        <w:tc>
          <w:tcPr>
            <w:tcW w:w="10031" w:type="dxa"/>
            <w:gridSpan w:val="2"/>
          </w:tcPr>
          <w:p w:rsidR="000F33D8" w:rsidRPr="00C61057" w:rsidRDefault="000F33D8" w:rsidP="003A76B1">
            <w:pPr>
              <w:pStyle w:val="Title1"/>
            </w:pPr>
            <w:bookmarkStart w:id="5" w:name="dtitle1" w:colFirst="0" w:colLast="0"/>
            <w:bookmarkEnd w:id="4"/>
            <w:r w:rsidRPr="00C61057">
              <w:t>Предложения для работы Конференции</w:t>
            </w:r>
          </w:p>
        </w:tc>
      </w:tr>
      <w:tr w:rsidR="000F33D8" w:rsidRPr="00C61057">
        <w:trPr>
          <w:cantSplit/>
        </w:trPr>
        <w:tc>
          <w:tcPr>
            <w:tcW w:w="10031" w:type="dxa"/>
            <w:gridSpan w:val="2"/>
          </w:tcPr>
          <w:p w:rsidR="000F33D8" w:rsidRPr="00C6105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61057">
        <w:trPr>
          <w:cantSplit/>
        </w:trPr>
        <w:tc>
          <w:tcPr>
            <w:tcW w:w="10031" w:type="dxa"/>
            <w:gridSpan w:val="2"/>
          </w:tcPr>
          <w:p w:rsidR="000F33D8" w:rsidRPr="00C6105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61057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74EE" w:rsidRPr="00C61057" w:rsidRDefault="004529A7" w:rsidP="003A76B1">
      <w:pPr>
        <w:pStyle w:val="Normalaftertitle"/>
      </w:pPr>
      <w:r w:rsidRPr="00C61057">
        <w:t>1.17</w:t>
      </w:r>
      <w:r w:rsidRPr="00C61057">
        <w:tab/>
        <w:t xml:space="preserve">рассмотреть возможные потребности в спектре и </w:t>
      </w:r>
      <w:proofErr w:type="spellStart"/>
      <w:r w:rsidRPr="00C61057">
        <w:t>регламентарные</w:t>
      </w:r>
      <w:proofErr w:type="spellEnd"/>
      <w:r w:rsidRPr="00C61057">
        <w:t xml:space="preserve"> меры, включая соответствующие распределения воздушной службе, для обеспечения работы систем беспроводной бортовой внутренней связи (</w:t>
      </w:r>
      <w:proofErr w:type="spellStart"/>
      <w:r w:rsidRPr="00C61057">
        <w:t>WAIC</w:t>
      </w:r>
      <w:proofErr w:type="spellEnd"/>
      <w:r w:rsidRPr="00C61057">
        <w:t xml:space="preserve">) в соответствии с Резолюцией </w:t>
      </w:r>
      <w:r w:rsidRPr="00C61057">
        <w:rPr>
          <w:b/>
          <w:bCs/>
        </w:rPr>
        <w:t>423 (</w:t>
      </w:r>
      <w:proofErr w:type="spellStart"/>
      <w:r w:rsidRPr="00C61057">
        <w:rPr>
          <w:b/>
          <w:bCs/>
        </w:rPr>
        <w:t>ВКР</w:t>
      </w:r>
      <w:proofErr w:type="spellEnd"/>
      <w:r w:rsidRPr="00C61057">
        <w:rPr>
          <w:b/>
          <w:bCs/>
        </w:rPr>
        <w:t>-12)</w:t>
      </w:r>
      <w:r w:rsidRPr="00C61057">
        <w:t>;</w:t>
      </w:r>
    </w:p>
    <w:p w:rsidR="006428D1" w:rsidRPr="00C61057" w:rsidRDefault="006428D1" w:rsidP="006428D1">
      <w:pPr>
        <w:pStyle w:val="Headingb"/>
        <w:rPr>
          <w:lang w:val="ru-RU"/>
        </w:rPr>
      </w:pPr>
      <w:r w:rsidRPr="00C61057">
        <w:rPr>
          <w:lang w:val="ru-RU"/>
        </w:rPr>
        <w:t>Введение</w:t>
      </w:r>
    </w:p>
    <w:p w:rsidR="0003535B" w:rsidRPr="00C61057" w:rsidRDefault="003A76B1" w:rsidP="006428D1">
      <w:r w:rsidRPr="00C61057">
        <w:t xml:space="preserve">Члены </w:t>
      </w:r>
      <w:proofErr w:type="spellStart"/>
      <w:r w:rsidRPr="00C61057">
        <w:t>АТСЭ</w:t>
      </w:r>
      <w:proofErr w:type="spellEnd"/>
      <w:r w:rsidRPr="00C61057">
        <w:t xml:space="preserve"> поддерживают единственный метод, содержащийся в Отчете </w:t>
      </w:r>
      <w:proofErr w:type="spellStart"/>
      <w:r w:rsidRPr="00C61057">
        <w:t>ПСК</w:t>
      </w:r>
      <w:proofErr w:type="spellEnd"/>
      <w:r w:rsidRPr="00C61057">
        <w:t xml:space="preserve">, </w:t>
      </w:r>
      <w:r w:rsidR="006428D1" w:rsidRPr="00C61057">
        <w:t xml:space="preserve">в котором предлагается новое первичное </w:t>
      </w:r>
      <w:r w:rsidRPr="00C61057">
        <w:t>распределени</w:t>
      </w:r>
      <w:r w:rsidR="006428D1" w:rsidRPr="00C61057">
        <w:t>е</w:t>
      </w:r>
      <w:r w:rsidRPr="00C61057">
        <w:t xml:space="preserve"> полосы радиочастот 4200−4400 МГц воздушной подвижной (R) службы для использования только системами </w:t>
      </w:r>
      <w:proofErr w:type="spellStart"/>
      <w:r w:rsidRPr="00C61057">
        <w:t>WAIC</w:t>
      </w:r>
      <w:proofErr w:type="spellEnd"/>
      <w:r w:rsidR="00245B7E" w:rsidRPr="00C61057">
        <w:t>, и сопровождающую его новую Резолюцию</w:t>
      </w:r>
      <w:r w:rsidRPr="00C61057">
        <w:t xml:space="preserve"> при сохранении статуса спутниковой службы исследования Земли (</w:t>
      </w:r>
      <w:proofErr w:type="spellStart"/>
      <w:r w:rsidRPr="00C61057">
        <w:t>ССИЗ</w:t>
      </w:r>
      <w:proofErr w:type="spellEnd"/>
      <w:r w:rsidRPr="00C61057">
        <w:t>) и службы космических исследований (</w:t>
      </w:r>
      <w:proofErr w:type="spellStart"/>
      <w:r w:rsidRPr="00C61057">
        <w:t>СКИ</w:t>
      </w:r>
      <w:proofErr w:type="spellEnd"/>
      <w:r w:rsidRPr="00C61057">
        <w:t>) как пассивных служб и при обеспечении защиты работы систем воздушной радионавигационной службы (</w:t>
      </w:r>
      <w:proofErr w:type="spellStart"/>
      <w:r w:rsidRPr="00C61057">
        <w:t>ВРНС</w:t>
      </w:r>
      <w:proofErr w:type="spellEnd"/>
      <w:r w:rsidRPr="00C61057">
        <w:t>).</w:t>
      </w:r>
    </w:p>
    <w:p w:rsidR="006428D1" w:rsidRPr="00C61057" w:rsidRDefault="006428D1" w:rsidP="006428D1">
      <w:pPr>
        <w:pStyle w:val="Headingb"/>
        <w:rPr>
          <w:lang w:val="ru-RU"/>
        </w:rPr>
      </w:pPr>
      <w:r w:rsidRPr="00C61057">
        <w:rPr>
          <w:lang w:val="ru-RU"/>
        </w:rPr>
        <w:t>Предложения</w:t>
      </w:r>
    </w:p>
    <w:p w:rsidR="009B5CC2" w:rsidRPr="00C6105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61057">
        <w:br w:type="page"/>
      </w:r>
    </w:p>
    <w:p w:rsidR="008E2497" w:rsidRPr="00C61057" w:rsidRDefault="004529A7" w:rsidP="00B25C66">
      <w:pPr>
        <w:pStyle w:val="ArtNo"/>
      </w:pPr>
      <w:bookmarkStart w:id="8" w:name="_Toc331607681"/>
      <w:r w:rsidRPr="00C61057">
        <w:lastRenderedPageBreak/>
        <w:t xml:space="preserve">СТАТЬЯ </w:t>
      </w:r>
      <w:r w:rsidRPr="00C61057">
        <w:rPr>
          <w:rStyle w:val="href"/>
        </w:rPr>
        <w:t>5</w:t>
      </w:r>
      <w:bookmarkEnd w:id="8"/>
    </w:p>
    <w:p w:rsidR="008E2497" w:rsidRPr="00C61057" w:rsidRDefault="004529A7" w:rsidP="008E2497">
      <w:pPr>
        <w:pStyle w:val="Arttitle"/>
      </w:pPr>
      <w:bookmarkStart w:id="9" w:name="_Toc331607682"/>
      <w:r w:rsidRPr="00C61057">
        <w:t>Распределение частот</w:t>
      </w:r>
      <w:bookmarkEnd w:id="9"/>
    </w:p>
    <w:p w:rsidR="008E2497" w:rsidRPr="00C61057" w:rsidRDefault="004529A7" w:rsidP="00E170AA">
      <w:pPr>
        <w:pStyle w:val="Section1"/>
      </w:pPr>
      <w:bookmarkStart w:id="10" w:name="_Toc331607687"/>
      <w:r w:rsidRPr="00C61057">
        <w:t xml:space="preserve">Раздел </w:t>
      </w:r>
      <w:proofErr w:type="spellStart"/>
      <w:proofErr w:type="gramStart"/>
      <w:r w:rsidRPr="00C61057">
        <w:t>IV</w:t>
      </w:r>
      <w:proofErr w:type="spellEnd"/>
      <w:r w:rsidRPr="00C61057">
        <w:t xml:space="preserve">  –</w:t>
      </w:r>
      <w:proofErr w:type="gramEnd"/>
      <w:r w:rsidRPr="00C61057">
        <w:t xml:space="preserve">  Таблица распределения частот</w:t>
      </w:r>
      <w:r w:rsidRPr="00C61057">
        <w:br/>
      </w:r>
      <w:r w:rsidRPr="00C61057">
        <w:rPr>
          <w:b w:val="0"/>
          <w:bCs/>
        </w:rPr>
        <w:t>(См. п.</w:t>
      </w:r>
      <w:r w:rsidRPr="00C61057">
        <w:t xml:space="preserve"> 2.1</w:t>
      </w:r>
      <w:r w:rsidRPr="00C61057">
        <w:rPr>
          <w:b w:val="0"/>
          <w:bCs/>
        </w:rPr>
        <w:t>)</w:t>
      </w:r>
      <w:bookmarkEnd w:id="10"/>
      <w:r w:rsidRPr="00C61057">
        <w:rPr>
          <w:b w:val="0"/>
          <w:bCs/>
        </w:rPr>
        <w:br/>
      </w:r>
      <w:r w:rsidRPr="00C61057">
        <w:br/>
      </w:r>
    </w:p>
    <w:p w:rsidR="008A404B" w:rsidRPr="00C61057" w:rsidRDefault="004529A7">
      <w:pPr>
        <w:pStyle w:val="Proposal"/>
      </w:pPr>
      <w:proofErr w:type="spellStart"/>
      <w:r w:rsidRPr="00C61057">
        <w:t>MOD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/1</w:t>
      </w:r>
    </w:p>
    <w:p w:rsidR="008E2497" w:rsidRPr="00C61057" w:rsidRDefault="004529A7" w:rsidP="00BF41D3">
      <w:pPr>
        <w:pStyle w:val="Tabletitle"/>
        <w:keepNext w:val="0"/>
        <w:keepLines w:val="0"/>
      </w:pPr>
      <w:r w:rsidRPr="00C61057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C6105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61057" w:rsidRDefault="004529A7" w:rsidP="004D5216">
            <w:pPr>
              <w:pStyle w:val="Tablehead"/>
              <w:rPr>
                <w:lang w:val="ru-RU"/>
              </w:rPr>
            </w:pPr>
            <w:r w:rsidRPr="00C61057">
              <w:rPr>
                <w:lang w:val="ru-RU"/>
              </w:rPr>
              <w:t>Распределение по службам</w:t>
            </w:r>
          </w:p>
        </w:tc>
      </w:tr>
      <w:tr w:rsidR="008E2497" w:rsidRPr="00C61057" w:rsidTr="006428D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61057" w:rsidRDefault="004529A7" w:rsidP="004D5216">
            <w:pPr>
              <w:pStyle w:val="Tablehead"/>
              <w:rPr>
                <w:lang w:val="ru-RU"/>
              </w:rPr>
            </w:pPr>
            <w:r w:rsidRPr="00C6105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61057" w:rsidRDefault="004529A7" w:rsidP="004D5216">
            <w:pPr>
              <w:pStyle w:val="Tablehead"/>
              <w:rPr>
                <w:lang w:val="ru-RU"/>
              </w:rPr>
            </w:pPr>
            <w:r w:rsidRPr="00C6105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C61057" w:rsidRDefault="004529A7" w:rsidP="004D5216">
            <w:pPr>
              <w:pStyle w:val="Tablehead"/>
              <w:rPr>
                <w:lang w:val="ru-RU"/>
              </w:rPr>
            </w:pPr>
            <w:r w:rsidRPr="00C61057">
              <w:rPr>
                <w:lang w:val="ru-RU"/>
              </w:rPr>
              <w:t>Район 3</w:t>
            </w:r>
          </w:p>
        </w:tc>
      </w:tr>
      <w:tr w:rsidR="008E2497" w:rsidRPr="00C61057" w:rsidTr="004C5DCC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C61057" w:rsidRDefault="006428D1" w:rsidP="004D5216">
            <w:pPr>
              <w:spacing w:before="20" w:after="20"/>
              <w:rPr>
                <w:rStyle w:val="Tablefreq"/>
                <w:szCs w:val="18"/>
              </w:rPr>
            </w:pPr>
            <w:r w:rsidRPr="00C61057">
              <w:rPr>
                <w:rStyle w:val="Tablefreq"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C61057" w:rsidRDefault="000D5420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</w:p>
        </w:tc>
      </w:tr>
      <w:tr w:rsidR="008E2497" w:rsidRPr="00C61057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C61057" w:rsidRDefault="004529A7" w:rsidP="004D5216">
            <w:pPr>
              <w:spacing w:before="20" w:after="20"/>
              <w:rPr>
                <w:rStyle w:val="Tablefreq"/>
                <w:szCs w:val="18"/>
              </w:rPr>
            </w:pPr>
            <w:r w:rsidRPr="00C61057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428D1" w:rsidRPr="00C61057" w:rsidRDefault="006428D1" w:rsidP="006428D1">
            <w:pPr>
              <w:pStyle w:val="TableTextS5"/>
              <w:spacing w:before="20" w:after="20"/>
              <w:ind w:left="85"/>
              <w:rPr>
                <w:ins w:id="11" w:author="Tsarapkina, Yulia" w:date="2015-10-08T10:47:00Z"/>
                <w:lang w:val="ru-RU"/>
              </w:rPr>
            </w:pPr>
            <w:ins w:id="12" w:author="Tsarapkina, Yulia" w:date="2015-10-08T10:47:00Z">
              <w:r w:rsidRPr="00C61057">
                <w:rPr>
                  <w:lang w:val="ru-RU"/>
                </w:rPr>
                <w:t>ВОЗДУШНАЯ ПОДВИЖН</w:t>
              </w:r>
            </w:ins>
            <w:ins w:id="13" w:author="Tsarapkina, Yulia" w:date="2015-10-08T10:48:00Z">
              <w:r w:rsidRPr="00C61057">
                <w:rPr>
                  <w:lang w:val="ru-RU"/>
                </w:rPr>
                <w:t>АЯ</w:t>
              </w:r>
            </w:ins>
            <w:ins w:id="14" w:author="Tsarapkina, Yulia" w:date="2015-10-08T10:47:00Z">
              <w:r w:rsidRPr="00C61057">
                <w:rPr>
                  <w:lang w:val="ru-RU"/>
                </w:rPr>
                <w:t xml:space="preserve"> </w:t>
              </w:r>
              <w:r w:rsidRPr="00C61057">
                <w:rPr>
                  <w:lang w:val="ru-RU"/>
                  <w:rPrChange w:id="15" w:author="Tsarapkina, Yulia" w:date="2015-10-08T10:48:00Z">
                    <w:rPr/>
                  </w:rPrChange>
                </w:rPr>
                <w:t>(</w:t>
              </w:r>
              <w:proofErr w:type="gramStart"/>
              <w:r w:rsidRPr="00C61057">
                <w:rPr>
                  <w:lang w:val="ru-RU"/>
                </w:rPr>
                <w:t>R</w:t>
              </w:r>
              <w:r w:rsidRPr="00C61057">
                <w:rPr>
                  <w:lang w:val="ru-RU"/>
                  <w:rPrChange w:id="16" w:author="Tsarapkina, Yulia" w:date="2015-10-08T10:48:00Z">
                    <w:rPr/>
                  </w:rPrChange>
                </w:rPr>
                <w:t>)</w:t>
              </w:r>
            </w:ins>
            <w:ins w:id="17" w:author="Tsarapkina, Yulia" w:date="2015-10-08T10:48:00Z">
              <w:r w:rsidRPr="00C61057">
                <w:rPr>
                  <w:lang w:val="ru-RU"/>
                </w:rPr>
                <w:t xml:space="preserve">  </w:t>
              </w:r>
              <w:proofErr w:type="spellStart"/>
              <w:r w:rsidRPr="00C61057">
                <w:rPr>
                  <w:lang w:val="ru-RU"/>
                </w:rPr>
                <w:t>ADD</w:t>
              </w:r>
              <w:proofErr w:type="spellEnd"/>
              <w:proofErr w:type="gramEnd"/>
              <w:r w:rsidRPr="00C61057">
                <w:rPr>
                  <w:lang w:val="ru-RU"/>
                  <w:rPrChange w:id="18" w:author="Tsarapkina, Yulia" w:date="2015-10-08T10:48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C61057">
                <w:rPr>
                  <w:lang w:val="ru-RU"/>
                  <w:rPrChange w:id="19" w:author="Tsarapkina, Yulia" w:date="2015-10-08T10:48:00Z">
                    <w:rPr>
                      <w:lang w:val="en-US"/>
                    </w:rPr>
                  </w:rPrChange>
                </w:rPr>
                <w:t>5.</w:t>
              </w:r>
              <w:r w:rsidRPr="00C61057">
                <w:rPr>
                  <w:lang w:val="ru-RU"/>
                </w:rPr>
                <w:t>A</w:t>
              </w:r>
              <w:r w:rsidRPr="00C61057">
                <w:rPr>
                  <w:lang w:val="ru-RU"/>
                  <w:rPrChange w:id="20" w:author="Tsarapkina, Yulia" w:date="2015-10-08T10:48:00Z">
                    <w:rPr>
                      <w:lang w:val="en-US"/>
                    </w:rPr>
                  </w:rPrChange>
                </w:rPr>
                <w:t>117</w:t>
              </w:r>
            </w:ins>
            <w:proofErr w:type="spellEnd"/>
          </w:p>
          <w:p w:rsidR="008E2497" w:rsidRPr="00C61057" w:rsidRDefault="004529A7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C61057">
              <w:rPr>
                <w:lang w:val="ru-RU"/>
              </w:rPr>
              <w:t xml:space="preserve">ВОЗДУШНАЯ </w:t>
            </w:r>
            <w:proofErr w:type="gramStart"/>
            <w:r w:rsidRPr="00C61057">
              <w:rPr>
                <w:lang w:val="ru-RU"/>
              </w:rPr>
              <w:t xml:space="preserve">РАДИОНАВИГАЦИОННАЯ  </w:t>
            </w:r>
            <w:proofErr w:type="spellStart"/>
            <w:ins w:id="21" w:author="Tsarapkina, Yulia" w:date="2015-10-08T10:48:00Z">
              <w:r w:rsidR="006428D1" w:rsidRPr="00C61057">
                <w:rPr>
                  <w:lang w:val="ru-RU"/>
                </w:rPr>
                <w:t>MOD</w:t>
              </w:r>
              <w:proofErr w:type="spellEnd"/>
              <w:proofErr w:type="gramEnd"/>
              <w:r w:rsidR="006428D1" w:rsidRPr="00C61057">
                <w:rPr>
                  <w:lang w:val="ru-RU"/>
                  <w:rPrChange w:id="22" w:author="Tsarapkina, Yulia" w:date="2015-10-08T10:48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C61057">
              <w:rPr>
                <w:rStyle w:val="Artref"/>
                <w:lang w:val="ru-RU"/>
              </w:rPr>
              <w:t xml:space="preserve">5.438 </w:t>
            </w:r>
          </w:p>
          <w:p w:rsidR="008E2497" w:rsidRPr="00C61057" w:rsidRDefault="004529A7" w:rsidP="004D5216">
            <w:pPr>
              <w:pStyle w:val="TableTextS5"/>
              <w:spacing w:before="20" w:after="20"/>
              <w:ind w:left="85"/>
              <w:rPr>
                <w:rStyle w:val="Artref"/>
                <w:bCs w:val="0"/>
                <w:lang w:val="ru-RU"/>
                <w:rPrChange w:id="23" w:author="Tsarapkina, Yulia" w:date="2015-10-08T10:48:00Z">
                  <w:rPr>
                    <w:rStyle w:val="Artref"/>
                    <w:bCs w:val="0"/>
                    <w:lang w:val="ru-RU"/>
                  </w:rPr>
                </w:rPrChange>
              </w:rPr>
            </w:pPr>
            <w:proofErr w:type="gramStart"/>
            <w:r w:rsidRPr="00C61057">
              <w:rPr>
                <w:rStyle w:val="Artref"/>
                <w:lang w:val="ru-RU"/>
              </w:rPr>
              <w:t>5.439  5.440</w:t>
            </w:r>
            <w:proofErr w:type="gramEnd"/>
            <w:ins w:id="24" w:author="Tsarapkina, Yulia" w:date="2015-10-08T10:48:00Z">
              <w:r w:rsidR="006428D1" w:rsidRPr="00C61057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6428D1" w:rsidRPr="00C61057">
                <w:rPr>
                  <w:rStyle w:val="Artref"/>
                  <w:lang w:val="ru-RU"/>
                </w:rPr>
                <w:t>ADD</w:t>
              </w:r>
              <w:proofErr w:type="spellEnd"/>
              <w:r w:rsidR="006428D1" w:rsidRPr="00C6105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428D1" w:rsidRPr="00C61057">
                <w:rPr>
                  <w:rStyle w:val="Artref"/>
                  <w:lang w:val="ru-RU"/>
                </w:rPr>
                <w:t>5.B117</w:t>
              </w:r>
            </w:ins>
            <w:proofErr w:type="spellEnd"/>
          </w:p>
        </w:tc>
      </w:tr>
      <w:tr w:rsidR="008E2497" w:rsidRPr="00C61057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C61057" w:rsidRDefault="006428D1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61057">
              <w:rPr>
                <w:rStyle w:val="Tablefreq"/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C61057" w:rsidRDefault="000D5420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</w:p>
        </w:tc>
      </w:tr>
    </w:tbl>
    <w:p w:rsidR="008A404B" w:rsidRPr="00C61057" w:rsidRDefault="008A404B">
      <w:pPr>
        <w:pStyle w:val="Reasons"/>
      </w:pPr>
    </w:p>
    <w:p w:rsidR="008A404B" w:rsidRPr="00C61057" w:rsidRDefault="004529A7">
      <w:pPr>
        <w:pStyle w:val="Proposal"/>
      </w:pPr>
      <w:proofErr w:type="spellStart"/>
      <w:r w:rsidRPr="00C61057">
        <w:t>MOD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/2</w:t>
      </w:r>
    </w:p>
    <w:p w:rsidR="008E2497" w:rsidRPr="00C61057" w:rsidRDefault="004529A7">
      <w:pPr>
        <w:pStyle w:val="Note"/>
        <w:rPr>
          <w:lang w:val="ru-RU"/>
        </w:rPr>
      </w:pPr>
      <w:r w:rsidRPr="00C61057">
        <w:rPr>
          <w:rStyle w:val="Artdef"/>
          <w:lang w:val="ru-RU"/>
        </w:rPr>
        <w:t>5.438</w:t>
      </w:r>
      <w:r w:rsidRPr="00C61057">
        <w:rPr>
          <w:lang w:val="ru-RU"/>
        </w:rPr>
        <w:tab/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 связанных с ними наземных приемоответчиков.</w:t>
      </w:r>
      <w:del w:id="25" w:author="Tsarapkina, Yulia" w:date="2015-10-08T10:49:00Z">
        <w:r w:rsidRPr="00C61057" w:rsidDel="006428D1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8A404B" w:rsidRPr="00C61057" w:rsidRDefault="008A404B">
      <w:pPr>
        <w:pStyle w:val="Reasons"/>
      </w:pPr>
    </w:p>
    <w:p w:rsidR="008A404B" w:rsidRPr="00C61057" w:rsidRDefault="004529A7">
      <w:pPr>
        <w:pStyle w:val="Proposal"/>
      </w:pPr>
      <w:proofErr w:type="spellStart"/>
      <w:r w:rsidRPr="00C61057">
        <w:t>ADD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/3</w:t>
      </w:r>
    </w:p>
    <w:p w:rsidR="008A404B" w:rsidRPr="00C61057" w:rsidRDefault="004529A7" w:rsidP="00245B7E">
      <w:pPr>
        <w:pStyle w:val="Note"/>
        <w:rPr>
          <w:lang w:val="ru-RU"/>
        </w:rPr>
      </w:pPr>
      <w:proofErr w:type="spellStart"/>
      <w:r w:rsidRPr="00C61057">
        <w:rPr>
          <w:rStyle w:val="Artdef"/>
          <w:rFonts w:ascii="Times New Roman"/>
          <w:lang w:val="ru-RU"/>
        </w:rPr>
        <w:t>5.</w:t>
      </w:r>
      <w:r w:rsidRPr="00C61057">
        <w:rPr>
          <w:rStyle w:val="Artdef"/>
          <w:lang w:val="ru-RU"/>
        </w:rPr>
        <w:t>A117</w:t>
      </w:r>
      <w:proofErr w:type="spellEnd"/>
      <w:r w:rsidRPr="00C61057">
        <w:rPr>
          <w:lang w:val="ru-RU"/>
        </w:rPr>
        <w:tab/>
      </w:r>
      <w:r w:rsidR="006428D1" w:rsidRPr="00C61057">
        <w:rPr>
          <w:lang w:val="ru-RU"/>
        </w:rPr>
        <w:t xml:space="preserve">Используемая станциями в воздушной подвижной (R) службе полоса частот 4200−4400 МГц резервируется исключительно для беспроводных систем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 </w:t>
      </w:r>
      <w:r w:rsidR="006428D1" w:rsidRPr="00C61057">
        <w:rPr>
          <w:b/>
          <w:bCs/>
          <w:lang w:val="ru-RU"/>
        </w:rPr>
        <w:t>[</w:t>
      </w:r>
      <w:proofErr w:type="spellStart"/>
      <w:r w:rsidR="00245B7E" w:rsidRPr="00C61057">
        <w:rPr>
          <w:b/>
          <w:bCs/>
          <w:lang w:val="ru-RU"/>
        </w:rPr>
        <w:t>ASP</w:t>
      </w:r>
      <w:r w:rsidR="00245B7E" w:rsidRPr="00C61057">
        <w:rPr>
          <w:b/>
          <w:bCs/>
          <w:lang w:val="ru-RU"/>
        </w:rPr>
        <w:noBreakHyphen/>
      </w:r>
      <w:r w:rsidR="006428D1" w:rsidRPr="00C61057">
        <w:rPr>
          <w:b/>
          <w:bCs/>
          <w:lang w:val="ru-RU"/>
        </w:rPr>
        <w:t>A</w:t>
      </w:r>
      <w:r w:rsidR="00245B7E" w:rsidRPr="00C61057">
        <w:rPr>
          <w:b/>
          <w:bCs/>
          <w:lang w:val="ru-RU"/>
        </w:rPr>
        <w:t>117</w:t>
      </w:r>
      <w:r w:rsidR="00245B7E" w:rsidRPr="00C61057">
        <w:rPr>
          <w:b/>
          <w:bCs/>
          <w:lang w:val="ru-RU"/>
        </w:rPr>
        <w:noBreakHyphen/>
      </w:r>
      <w:r w:rsidR="006428D1" w:rsidRPr="00C61057">
        <w:rPr>
          <w:b/>
          <w:bCs/>
          <w:lang w:val="ru-RU"/>
        </w:rPr>
        <w:t>WAIC</w:t>
      </w:r>
      <w:proofErr w:type="spellEnd"/>
      <w:r w:rsidR="006428D1" w:rsidRPr="00C61057">
        <w:rPr>
          <w:b/>
          <w:bCs/>
          <w:lang w:val="ru-RU"/>
        </w:rPr>
        <w:t>] (</w:t>
      </w:r>
      <w:proofErr w:type="spellStart"/>
      <w:r w:rsidR="006428D1" w:rsidRPr="00C61057">
        <w:rPr>
          <w:b/>
          <w:bCs/>
          <w:lang w:val="ru-RU"/>
        </w:rPr>
        <w:t>ВКР</w:t>
      </w:r>
      <w:proofErr w:type="spellEnd"/>
      <w:r w:rsidR="006428D1" w:rsidRPr="00C61057">
        <w:rPr>
          <w:b/>
          <w:bCs/>
          <w:lang w:val="ru-RU"/>
        </w:rPr>
        <w:t>-15)</w:t>
      </w:r>
      <w:r w:rsidR="006428D1" w:rsidRPr="00C61057">
        <w:rPr>
          <w:lang w:val="ru-RU"/>
        </w:rPr>
        <w:t>.</w:t>
      </w:r>
    </w:p>
    <w:p w:rsidR="008A404B" w:rsidRPr="00C61057" w:rsidRDefault="004529A7" w:rsidP="00245B7E">
      <w:pPr>
        <w:pStyle w:val="Reasons"/>
      </w:pPr>
      <w:proofErr w:type="gramStart"/>
      <w:r w:rsidRPr="00C61057">
        <w:rPr>
          <w:b/>
        </w:rPr>
        <w:t>Основания</w:t>
      </w:r>
      <w:r w:rsidRPr="00C61057">
        <w:rPr>
          <w:bCs/>
        </w:rPr>
        <w:t>:</w:t>
      </w:r>
      <w:r w:rsidRPr="00C61057">
        <w:tab/>
      </w:r>
      <w:proofErr w:type="gramEnd"/>
      <w:r w:rsidR="006428D1" w:rsidRPr="00C61057">
        <w:t>В данном примечании содержится ссылка на следующую Резолюцию [</w:t>
      </w:r>
      <w:proofErr w:type="spellStart"/>
      <w:r w:rsidR="00245B7E" w:rsidRPr="00C61057">
        <w:t>ASP</w:t>
      </w:r>
      <w:r w:rsidR="00245B7E" w:rsidRPr="00C61057">
        <w:noBreakHyphen/>
      </w:r>
      <w:r w:rsidR="006428D1" w:rsidRPr="00C61057">
        <w:t>A117</w:t>
      </w:r>
      <w:r w:rsidR="00245B7E" w:rsidRPr="00C61057">
        <w:noBreakHyphen/>
      </w:r>
      <w:r w:rsidR="006428D1" w:rsidRPr="00C61057">
        <w:t>WAIC</w:t>
      </w:r>
      <w:proofErr w:type="spellEnd"/>
      <w:r w:rsidR="006428D1" w:rsidRPr="00C61057">
        <w:t>] (</w:t>
      </w:r>
      <w:proofErr w:type="spellStart"/>
      <w:r w:rsidR="006428D1" w:rsidRPr="00C61057">
        <w:t>ВКР</w:t>
      </w:r>
      <w:proofErr w:type="spellEnd"/>
      <w:r w:rsidR="006428D1" w:rsidRPr="00C61057">
        <w:t>-15).</w:t>
      </w:r>
    </w:p>
    <w:p w:rsidR="008A404B" w:rsidRPr="00C61057" w:rsidRDefault="004529A7">
      <w:pPr>
        <w:pStyle w:val="Proposal"/>
      </w:pPr>
      <w:proofErr w:type="spellStart"/>
      <w:r w:rsidRPr="00C61057">
        <w:t>ADD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/4</w:t>
      </w:r>
    </w:p>
    <w:p w:rsidR="008A404B" w:rsidRPr="00C61057" w:rsidRDefault="004529A7" w:rsidP="006428D1">
      <w:pPr>
        <w:pStyle w:val="Note"/>
        <w:rPr>
          <w:lang w:val="ru-RU"/>
        </w:rPr>
      </w:pPr>
      <w:proofErr w:type="spellStart"/>
      <w:r w:rsidRPr="00C61057">
        <w:rPr>
          <w:rStyle w:val="Artdef"/>
          <w:rFonts w:ascii="Times New Roman"/>
          <w:lang w:val="ru-RU"/>
        </w:rPr>
        <w:t>5.</w:t>
      </w:r>
      <w:r w:rsidRPr="00C61057">
        <w:rPr>
          <w:rStyle w:val="Artdef"/>
          <w:lang w:val="ru-RU"/>
        </w:rPr>
        <w:t>B117</w:t>
      </w:r>
      <w:proofErr w:type="spellEnd"/>
      <w:r w:rsidRPr="00C61057">
        <w:rPr>
          <w:lang w:val="ru-RU"/>
        </w:rPr>
        <w:tab/>
      </w:r>
      <w:r w:rsidR="006428D1" w:rsidRPr="00C61057">
        <w:rPr>
          <w:lang w:val="ru-RU"/>
        </w:rPr>
        <w:t>Применение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8A404B" w:rsidRPr="00C61057" w:rsidRDefault="008A404B">
      <w:pPr>
        <w:pStyle w:val="Reasons"/>
      </w:pPr>
    </w:p>
    <w:p w:rsidR="008A404B" w:rsidRPr="00C61057" w:rsidRDefault="004529A7">
      <w:pPr>
        <w:pStyle w:val="Proposal"/>
      </w:pPr>
      <w:proofErr w:type="spellStart"/>
      <w:r w:rsidRPr="00C61057">
        <w:lastRenderedPageBreak/>
        <w:t>SUP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/5</w:t>
      </w:r>
    </w:p>
    <w:p w:rsidR="000C420B" w:rsidRPr="00C61057" w:rsidRDefault="004529A7" w:rsidP="002C1FD2">
      <w:pPr>
        <w:pStyle w:val="ResNo"/>
      </w:pPr>
      <w:r w:rsidRPr="00C61057">
        <w:t xml:space="preserve">РЕЗОЛЮЦИЯ </w:t>
      </w:r>
      <w:r w:rsidRPr="00C61057">
        <w:rPr>
          <w:rStyle w:val="href"/>
        </w:rPr>
        <w:t>423</w:t>
      </w:r>
      <w:r w:rsidRPr="00C61057">
        <w:t xml:space="preserve"> (</w:t>
      </w:r>
      <w:proofErr w:type="spellStart"/>
      <w:r w:rsidRPr="00C61057">
        <w:t>ВКР</w:t>
      </w:r>
      <w:proofErr w:type="spellEnd"/>
      <w:r w:rsidRPr="00C61057">
        <w:t>-12)</w:t>
      </w:r>
    </w:p>
    <w:p w:rsidR="000C420B" w:rsidRPr="00C61057" w:rsidRDefault="004529A7" w:rsidP="002C1FD2">
      <w:pPr>
        <w:pStyle w:val="Restitle"/>
      </w:pPr>
      <w:bookmarkStart w:id="26" w:name="_Toc329089644"/>
      <w:r w:rsidRPr="00C61057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26"/>
    </w:p>
    <w:p w:rsidR="008A404B" w:rsidRPr="00C61057" w:rsidRDefault="008A404B">
      <w:pPr>
        <w:pStyle w:val="Reasons"/>
      </w:pPr>
    </w:p>
    <w:p w:rsidR="008A404B" w:rsidRPr="00C61057" w:rsidRDefault="004529A7">
      <w:pPr>
        <w:pStyle w:val="Proposal"/>
      </w:pPr>
      <w:proofErr w:type="spellStart"/>
      <w:r w:rsidRPr="00C61057">
        <w:t>ADD</w:t>
      </w:r>
      <w:proofErr w:type="spellEnd"/>
      <w:r w:rsidRPr="00C61057">
        <w:tab/>
      </w:r>
      <w:proofErr w:type="spellStart"/>
      <w:r w:rsidRPr="00C61057">
        <w:t>ASP</w:t>
      </w:r>
      <w:proofErr w:type="spellEnd"/>
      <w:r w:rsidRPr="00C61057">
        <w:t>/</w:t>
      </w:r>
      <w:proofErr w:type="spellStart"/>
      <w:r w:rsidRPr="00C61057">
        <w:t>32A17</w:t>
      </w:r>
      <w:proofErr w:type="spellEnd"/>
      <w:r w:rsidRPr="00C61057">
        <w:t>/6</w:t>
      </w:r>
    </w:p>
    <w:p w:rsidR="008A404B" w:rsidRPr="00C61057" w:rsidRDefault="004529A7">
      <w:pPr>
        <w:pStyle w:val="ResNo"/>
      </w:pPr>
      <w:r w:rsidRPr="00C61057">
        <w:t>Проект новой Резолюции [</w:t>
      </w:r>
      <w:proofErr w:type="spellStart"/>
      <w:r w:rsidRPr="00C61057">
        <w:t>ASP-A117-WAIC</w:t>
      </w:r>
      <w:proofErr w:type="spellEnd"/>
      <w:r w:rsidRPr="00C61057">
        <w:t>] (</w:t>
      </w:r>
      <w:proofErr w:type="spellStart"/>
      <w:r w:rsidRPr="00C61057">
        <w:t>ВКР</w:t>
      </w:r>
      <w:proofErr w:type="spellEnd"/>
      <w:r w:rsidRPr="00C61057">
        <w:t>-15)</w:t>
      </w:r>
    </w:p>
    <w:p w:rsidR="004529A7" w:rsidRPr="00C61057" w:rsidRDefault="004529A7" w:rsidP="004529A7">
      <w:pPr>
        <w:pStyle w:val="Restitle"/>
      </w:pPr>
      <w:r w:rsidRPr="00C61057">
        <w:t xml:space="preserve">Использование беспроводной бортовой внутренней связи </w:t>
      </w:r>
      <w:r w:rsidRPr="00C61057">
        <w:rPr>
          <w:rFonts w:asciiTheme="minorHAnsi" w:hAnsiTheme="minorHAnsi"/>
        </w:rPr>
        <w:br/>
      </w:r>
      <w:r w:rsidRPr="00C61057">
        <w:t>в полосе частот 4200–4400 МГц</w:t>
      </w:r>
    </w:p>
    <w:p w:rsidR="004529A7" w:rsidRPr="00C61057" w:rsidRDefault="004529A7" w:rsidP="004529A7">
      <w:pPr>
        <w:pStyle w:val="Normalaftertitle"/>
      </w:pPr>
      <w:r w:rsidRPr="00C61057">
        <w:t>Всемирная конференция радиосвязи (Женева, 2015 г.),</w:t>
      </w:r>
    </w:p>
    <w:p w:rsidR="004529A7" w:rsidRPr="00C61057" w:rsidRDefault="004529A7" w:rsidP="004529A7">
      <w:pPr>
        <w:pStyle w:val="Call"/>
      </w:pPr>
      <w:r w:rsidRPr="00C61057">
        <w:t>учитывая</w:t>
      </w:r>
      <w:r w:rsidRPr="00C61057">
        <w:rPr>
          <w:i w:val="0"/>
          <w:iCs/>
        </w:rPr>
        <w:t>,</w:t>
      </w:r>
    </w:p>
    <w:p w:rsidR="004529A7" w:rsidRPr="00C61057" w:rsidRDefault="004529A7" w:rsidP="004529A7">
      <w:r w:rsidRPr="00C61057">
        <w:rPr>
          <w:i/>
          <w:iCs/>
        </w:rPr>
        <w:t>a)</w:t>
      </w:r>
      <w:r w:rsidRPr="00C61057">
        <w:tab/>
        <w:t xml:space="preserve">что воздушные суда спроектированы с целью повышения рентабельности, надежности и безопасности, а также снижения отрицательного воздействия на окружающую среду; </w:t>
      </w:r>
    </w:p>
    <w:p w:rsidR="004529A7" w:rsidRPr="00C61057" w:rsidRDefault="004529A7" w:rsidP="004529A7">
      <w:r w:rsidRPr="00C61057">
        <w:rPr>
          <w:i/>
          <w:iCs/>
        </w:rPr>
        <w:t>b)</w:t>
      </w:r>
      <w:r w:rsidRPr="00C61057">
        <w:tab/>
        <w:t>что беспроводные системы бортовой внутренней связи (</w:t>
      </w:r>
      <w:proofErr w:type="spellStart"/>
      <w:r w:rsidRPr="00C61057">
        <w:t>WAIC</w:t>
      </w:r>
      <w:proofErr w:type="spellEnd"/>
      <w:r w:rsidRPr="00C61057">
        <w:t>) обеспечивают радиосвязь между двумя или несколькими станциями воздушных судов</w:t>
      </w:r>
      <w:r w:rsidRPr="00C61057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C61057">
        <w:rPr>
          <w:color w:val="000000"/>
        </w:rPr>
        <w:t>безопасность полета этого воздушного судна</w:t>
      </w:r>
      <w:r w:rsidRPr="00C61057">
        <w:t>;</w:t>
      </w:r>
    </w:p>
    <w:p w:rsidR="004529A7" w:rsidRPr="00C61057" w:rsidRDefault="004529A7" w:rsidP="004529A7">
      <w:r w:rsidRPr="00C61057">
        <w:rPr>
          <w:i/>
          <w:iCs/>
        </w:rPr>
        <w:t>c)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 xml:space="preserve"> не обеспечивают радиосвязь между воздушным судном и землей, другим воздушным судном или спутником;</w:t>
      </w:r>
    </w:p>
    <w:p w:rsidR="004529A7" w:rsidRPr="00C61057" w:rsidRDefault="004529A7" w:rsidP="004529A7">
      <w:r w:rsidRPr="00C61057">
        <w:rPr>
          <w:i/>
          <w:iCs/>
        </w:rPr>
        <w:t>d)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 xml:space="preserve"> функционируют таким образом, чтобы обеспечивать безопасность полетов воздушного судна;</w:t>
      </w:r>
    </w:p>
    <w:p w:rsidR="004529A7" w:rsidRPr="00C61057" w:rsidRDefault="004529A7" w:rsidP="004529A7">
      <w:r w:rsidRPr="00C61057">
        <w:rPr>
          <w:i/>
          <w:iCs/>
        </w:rPr>
        <w:t>e)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 xml:space="preserve"> работают в течение всех этапов полета, в том числе на земле;</w:t>
      </w:r>
    </w:p>
    <w:p w:rsidR="004529A7" w:rsidRPr="00C61057" w:rsidRDefault="004529A7" w:rsidP="004529A7">
      <w:r w:rsidRPr="00C61057">
        <w:rPr>
          <w:i/>
          <w:iCs/>
        </w:rPr>
        <w:t>f)</w:t>
      </w:r>
      <w:r w:rsidRPr="00C61057">
        <w:tab/>
        <w:t xml:space="preserve">что воздушное судно, оборудованное системами </w:t>
      </w:r>
      <w:proofErr w:type="spellStart"/>
      <w:r w:rsidRPr="00C61057">
        <w:t>WAIC</w:t>
      </w:r>
      <w:proofErr w:type="spellEnd"/>
      <w:r w:rsidRPr="00C61057">
        <w:t>, эксплуатируется на глобальной основе;</w:t>
      </w:r>
    </w:p>
    <w:p w:rsidR="004529A7" w:rsidRPr="00C61057" w:rsidRDefault="004529A7" w:rsidP="004529A7">
      <w:r w:rsidRPr="00C61057">
        <w:rPr>
          <w:i/>
          <w:iCs/>
        </w:rPr>
        <w:t>g)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>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 другими службами;</w:t>
      </w:r>
    </w:p>
    <w:p w:rsidR="004529A7" w:rsidRPr="00C61057" w:rsidRDefault="004529A7" w:rsidP="004529A7">
      <w:r w:rsidRPr="00C61057">
        <w:rPr>
          <w:i/>
          <w:iCs/>
        </w:rPr>
        <w:t>h)</w:t>
      </w:r>
      <w:r w:rsidRPr="00C61057">
        <w:tab/>
        <w:t xml:space="preserve">что в Рекомендации МСЭ-R </w:t>
      </w:r>
      <w:proofErr w:type="spellStart"/>
      <w:r w:rsidRPr="00C61057">
        <w:t>M.2067</w:t>
      </w:r>
      <w:proofErr w:type="spellEnd"/>
      <w:r w:rsidRPr="00C61057">
        <w:t xml:space="preserve"> приводятся технические характеристики и эксплуатационные задачи для систем </w:t>
      </w:r>
      <w:proofErr w:type="spellStart"/>
      <w:r w:rsidRPr="00C61057">
        <w:t>WAIC</w:t>
      </w:r>
      <w:proofErr w:type="spellEnd"/>
      <w:r w:rsidRPr="00C61057">
        <w:t>,</w:t>
      </w:r>
    </w:p>
    <w:p w:rsidR="004529A7" w:rsidRPr="00C61057" w:rsidRDefault="004529A7" w:rsidP="004529A7">
      <w:pPr>
        <w:pStyle w:val="Call"/>
      </w:pPr>
      <w:r w:rsidRPr="00C61057">
        <w:t>признавая</w:t>
      </w:r>
      <w:r w:rsidRPr="00C61057">
        <w:rPr>
          <w:i w:val="0"/>
          <w:iCs/>
        </w:rPr>
        <w:t>,</w:t>
      </w:r>
    </w:p>
    <w:p w:rsidR="004529A7" w:rsidRPr="00C61057" w:rsidRDefault="004529A7" w:rsidP="004529A7">
      <w:r w:rsidRPr="00C61057">
        <w:t>что в Приложении 10 к Конвенции о международной гражданской авиации содержатся стандарты и рекомендуемая практика (</w:t>
      </w:r>
      <w:proofErr w:type="spellStart"/>
      <w:r w:rsidRPr="00C61057">
        <w:t>SARPs</w:t>
      </w:r>
      <w:proofErr w:type="spellEnd"/>
      <w:r w:rsidRPr="00C61057">
        <w:t>) для систем безопасности воздушной радионавигации и радиосвязи, используемых в международной гражданской авиации,</w:t>
      </w:r>
    </w:p>
    <w:p w:rsidR="004529A7" w:rsidRPr="00C61057" w:rsidRDefault="004529A7" w:rsidP="004529A7">
      <w:pPr>
        <w:pStyle w:val="Call"/>
      </w:pPr>
      <w:r w:rsidRPr="00C61057">
        <w:t>решает</w:t>
      </w:r>
      <w:r w:rsidRPr="00C61057">
        <w:rPr>
          <w:i w:val="0"/>
          <w:iCs/>
        </w:rPr>
        <w:t>,</w:t>
      </w:r>
    </w:p>
    <w:p w:rsidR="004529A7" w:rsidRPr="00C61057" w:rsidRDefault="004529A7" w:rsidP="004529A7">
      <w:r w:rsidRPr="00C61057">
        <w:t>1</w:t>
      </w:r>
      <w:r w:rsidRPr="00C61057">
        <w:tab/>
        <w:t xml:space="preserve">что </w:t>
      </w:r>
      <w:proofErr w:type="spellStart"/>
      <w:r w:rsidRPr="00C61057">
        <w:t>WAIC</w:t>
      </w:r>
      <w:proofErr w:type="spellEnd"/>
      <w:r w:rsidRPr="00C61057">
        <w:t xml:space="preserve">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4529A7" w:rsidRPr="00C61057" w:rsidRDefault="004529A7" w:rsidP="004529A7">
      <w:r w:rsidRPr="00C61057">
        <w:lastRenderedPageBreak/>
        <w:t>2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>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4529A7" w:rsidRPr="00C61057" w:rsidRDefault="004529A7" w:rsidP="004529A7">
      <w:r w:rsidRPr="00C61057">
        <w:t>3</w:t>
      </w:r>
      <w:r w:rsidRPr="00C61057">
        <w:tab/>
        <w:t xml:space="preserve">что системы </w:t>
      </w:r>
      <w:proofErr w:type="spellStart"/>
      <w:r w:rsidRPr="00C61057">
        <w:t>WAIC</w:t>
      </w:r>
      <w:proofErr w:type="spellEnd"/>
      <w:r w:rsidRPr="00C61057">
        <w:t xml:space="preserve">, работающие в полосе частот 4200−4400 МГц, должны эксплуатироваться с соблюдением </w:t>
      </w:r>
      <w:r w:rsidRPr="00C61057">
        <w:rPr>
          <w:color w:val="000000"/>
        </w:rPr>
        <w:t>Стандартов и рекомендуемой практики</w:t>
      </w:r>
      <w:r w:rsidRPr="00C61057">
        <w:t xml:space="preserve">, опубликованных в Приложении 10 к </w:t>
      </w:r>
      <w:r w:rsidRPr="00C61057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Pr="00C61057">
        <w:t xml:space="preserve">; </w:t>
      </w:r>
    </w:p>
    <w:p w:rsidR="004529A7" w:rsidRPr="00C61057" w:rsidRDefault="004529A7" w:rsidP="004529A7">
      <w:r w:rsidRPr="00C61057">
        <w:t>4</w:t>
      </w:r>
      <w:r w:rsidRPr="00C61057">
        <w:tab/>
        <w:t xml:space="preserve">что п. </w:t>
      </w:r>
      <w:r w:rsidRPr="00C61057">
        <w:rPr>
          <w:b/>
          <w:bCs/>
        </w:rPr>
        <w:t>43.1</w:t>
      </w:r>
      <w:r w:rsidRPr="00C61057">
        <w:t xml:space="preserve"> не должен применяться для систем </w:t>
      </w:r>
      <w:proofErr w:type="spellStart"/>
      <w:r w:rsidRPr="00C61057">
        <w:t>WAIC</w:t>
      </w:r>
      <w:proofErr w:type="spellEnd"/>
      <w:r w:rsidRPr="00C61057">
        <w:t>,</w:t>
      </w:r>
    </w:p>
    <w:p w:rsidR="004529A7" w:rsidRPr="00C61057" w:rsidRDefault="004529A7" w:rsidP="004529A7">
      <w:pPr>
        <w:pStyle w:val="Call"/>
      </w:pPr>
      <w:r w:rsidRPr="00C61057">
        <w:t>поручает Генеральному секретарю</w:t>
      </w:r>
    </w:p>
    <w:p w:rsidR="004529A7" w:rsidRPr="00C61057" w:rsidRDefault="004529A7" w:rsidP="004529A7">
      <w:r w:rsidRPr="00C61057">
        <w:t xml:space="preserve">довести настоящую Резолюцию до сведения </w:t>
      </w:r>
      <w:proofErr w:type="spellStart"/>
      <w:r w:rsidRPr="00C61057">
        <w:t>ИКАО</w:t>
      </w:r>
      <w:proofErr w:type="spellEnd"/>
      <w:r w:rsidRPr="00C61057">
        <w:t>,</w:t>
      </w:r>
    </w:p>
    <w:p w:rsidR="004529A7" w:rsidRPr="00C61057" w:rsidRDefault="004529A7" w:rsidP="004529A7">
      <w:pPr>
        <w:pStyle w:val="Call"/>
      </w:pPr>
      <w:r w:rsidRPr="00C61057">
        <w:t>пр</w:t>
      </w:r>
      <w:bookmarkStart w:id="27" w:name="_GoBack"/>
      <w:bookmarkEnd w:id="27"/>
      <w:r w:rsidRPr="00C61057">
        <w:t xml:space="preserve">едлагает </w:t>
      </w:r>
      <w:proofErr w:type="spellStart"/>
      <w:r w:rsidRPr="00C61057">
        <w:t>ИКАО</w:t>
      </w:r>
      <w:proofErr w:type="spellEnd"/>
    </w:p>
    <w:p w:rsidR="004529A7" w:rsidRPr="00C61057" w:rsidRDefault="004529A7" w:rsidP="004529A7">
      <w:r w:rsidRPr="00C61057">
        <w:t xml:space="preserve">принимать во внимание Рекомендацию МСЭ-R </w:t>
      </w:r>
      <w:proofErr w:type="spellStart"/>
      <w:r w:rsidRPr="00C61057">
        <w:t>M.2085</w:t>
      </w:r>
      <w:proofErr w:type="spellEnd"/>
      <w:r w:rsidRPr="00C61057">
        <w:t xml:space="preserve"> при разработке </w:t>
      </w:r>
      <w:proofErr w:type="spellStart"/>
      <w:r w:rsidRPr="00C61057">
        <w:t>SARPs</w:t>
      </w:r>
      <w:proofErr w:type="spellEnd"/>
      <w:r w:rsidRPr="00C61057">
        <w:t xml:space="preserve"> для систем </w:t>
      </w:r>
      <w:proofErr w:type="spellStart"/>
      <w:r w:rsidRPr="00C61057">
        <w:t>WAIC</w:t>
      </w:r>
      <w:proofErr w:type="spellEnd"/>
      <w:r w:rsidRPr="00C61057">
        <w:t>.</w:t>
      </w:r>
    </w:p>
    <w:p w:rsidR="008A404B" w:rsidRPr="00C61057" w:rsidRDefault="004529A7" w:rsidP="004529A7">
      <w:pPr>
        <w:pStyle w:val="Reasons"/>
      </w:pPr>
      <w:proofErr w:type="gramStart"/>
      <w:r w:rsidRPr="00C61057">
        <w:rPr>
          <w:b/>
        </w:rPr>
        <w:t>Основания</w:t>
      </w:r>
      <w:r w:rsidRPr="00C61057">
        <w:rPr>
          <w:bCs/>
        </w:rPr>
        <w:t>:</w:t>
      </w:r>
      <w:r w:rsidRPr="00C61057">
        <w:tab/>
      </w:r>
      <w:proofErr w:type="gramEnd"/>
      <w:r w:rsidRPr="00C61057">
        <w:t xml:space="preserve">Данная Резолюция обеспечивает соответствующие </w:t>
      </w:r>
      <w:proofErr w:type="spellStart"/>
      <w:r w:rsidRPr="00C61057">
        <w:t>регламентарные</w:t>
      </w:r>
      <w:proofErr w:type="spellEnd"/>
      <w:r w:rsidRPr="00C61057">
        <w:t xml:space="preserve"> положения для выполнения этого пункта повестки.</w:t>
      </w:r>
    </w:p>
    <w:p w:rsidR="004529A7" w:rsidRPr="00C61057" w:rsidRDefault="004529A7" w:rsidP="00A6550E">
      <w:pPr>
        <w:spacing w:before="480"/>
        <w:jc w:val="center"/>
      </w:pPr>
      <w:r w:rsidRPr="00C61057">
        <w:t>______________</w:t>
      </w:r>
    </w:p>
    <w:sectPr w:rsidR="004529A7" w:rsidRPr="00C6105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D5420" w:rsidRDefault="00567276">
    <w:pPr>
      <w:ind w:right="360"/>
      <w:rPr>
        <w:lang w:val="en-GB"/>
      </w:rPr>
    </w:pPr>
    <w:r>
      <w:fldChar w:fldCharType="begin"/>
    </w:r>
    <w:r w:rsidRPr="000D5420">
      <w:rPr>
        <w:lang w:val="en-GB"/>
      </w:rPr>
      <w:instrText xml:space="preserve"> FILENAME \p  \* MERGEFORMAT </w:instrText>
    </w:r>
    <w:r>
      <w:fldChar w:fldCharType="separate"/>
    </w:r>
    <w:r w:rsidR="000D5420" w:rsidRPr="000D5420">
      <w:rPr>
        <w:noProof/>
        <w:lang w:val="en-GB"/>
      </w:rPr>
      <w:t>P:\RUS\ITU-R\CONF-R\CMR15\000\032ADD17R.docx</w:t>
    </w:r>
    <w:r>
      <w:fldChar w:fldCharType="end"/>
    </w:r>
    <w:r w:rsidRPr="000D542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5420">
      <w:rPr>
        <w:noProof/>
      </w:rPr>
      <w:t>14.10.15</w:t>
    </w:r>
    <w:r>
      <w:fldChar w:fldCharType="end"/>
    </w:r>
    <w:r w:rsidRPr="000D542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420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B1" w:rsidRPr="000D5420" w:rsidRDefault="003A76B1" w:rsidP="003A76B1">
    <w:pPr>
      <w:pStyle w:val="Footer"/>
    </w:pPr>
    <w:r>
      <w:fldChar w:fldCharType="begin"/>
    </w:r>
    <w:r w:rsidRPr="000D5420">
      <w:instrText xml:space="preserve"> FILENAME \p  \* MERGEFORMAT </w:instrText>
    </w:r>
    <w:r>
      <w:fldChar w:fldCharType="separate"/>
    </w:r>
    <w:r w:rsidR="000D5420" w:rsidRPr="000D5420">
      <w:t>P:\RUS\ITU-R\CONF-R\CMR15\000\032ADD17R.docx</w:t>
    </w:r>
    <w:r>
      <w:fldChar w:fldCharType="end"/>
    </w:r>
    <w:r w:rsidRPr="000D5420">
      <w:t xml:space="preserve"> (387316)</w:t>
    </w:r>
    <w:r w:rsidRPr="000D5420">
      <w:tab/>
    </w:r>
    <w:r>
      <w:fldChar w:fldCharType="begin"/>
    </w:r>
    <w:r>
      <w:instrText xml:space="preserve"> SAVEDATE \@ DD.MM.YY </w:instrText>
    </w:r>
    <w:r>
      <w:fldChar w:fldCharType="separate"/>
    </w:r>
    <w:r w:rsidR="000D5420">
      <w:t>14.10.15</w:t>
    </w:r>
    <w:r>
      <w:fldChar w:fldCharType="end"/>
    </w:r>
    <w:r w:rsidRPr="000D5420">
      <w:tab/>
    </w:r>
    <w:r>
      <w:fldChar w:fldCharType="begin"/>
    </w:r>
    <w:r>
      <w:instrText xml:space="preserve"> PRINTDATE \@ DD.MM.YY </w:instrText>
    </w:r>
    <w:r>
      <w:fldChar w:fldCharType="separate"/>
    </w:r>
    <w:r w:rsidR="000D5420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D5420" w:rsidRDefault="00567276" w:rsidP="00DE2EBA">
    <w:pPr>
      <w:pStyle w:val="Footer"/>
    </w:pPr>
    <w:r>
      <w:fldChar w:fldCharType="begin"/>
    </w:r>
    <w:r w:rsidRPr="000D5420">
      <w:instrText xml:space="preserve"> FILENAME \p  \* MERGEFORMAT </w:instrText>
    </w:r>
    <w:r>
      <w:fldChar w:fldCharType="separate"/>
    </w:r>
    <w:r w:rsidR="000D5420" w:rsidRPr="000D5420">
      <w:t>P:\RUS\ITU-R\CONF-R\CMR15\000\032ADD17R.docx</w:t>
    </w:r>
    <w:r>
      <w:fldChar w:fldCharType="end"/>
    </w:r>
    <w:r w:rsidR="003A76B1" w:rsidRPr="000D5420">
      <w:t xml:space="preserve"> (387316)</w:t>
    </w:r>
    <w:r w:rsidRPr="000D5420">
      <w:tab/>
    </w:r>
    <w:r>
      <w:fldChar w:fldCharType="begin"/>
    </w:r>
    <w:r>
      <w:instrText xml:space="preserve"> SAVEDATE \@ DD.MM.YY </w:instrText>
    </w:r>
    <w:r>
      <w:fldChar w:fldCharType="separate"/>
    </w:r>
    <w:r w:rsidR="000D5420">
      <w:t>14.10.15</w:t>
    </w:r>
    <w:r>
      <w:fldChar w:fldCharType="end"/>
    </w:r>
    <w:r w:rsidRPr="000D5420">
      <w:tab/>
    </w:r>
    <w:r>
      <w:fldChar w:fldCharType="begin"/>
    </w:r>
    <w:r>
      <w:instrText xml:space="preserve"> PRINTDATE \@ DD.MM.YY </w:instrText>
    </w:r>
    <w:r>
      <w:fldChar w:fldCharType="separate"/>
    </w:r>
    <w:r w:rsidR="000D5420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542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</w:t>
    </w:r>
    <w:proofErr w:type="spellStart"/>
    <w:r w:rsidR="00F761D2">
      <w:t>Add.17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5420"/>
    <w:rsid w:val="000F33D8"/>
    <w:rsid w:val="000F39B4"/>
    <w:rsid w:val="00102595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45B7E"/>
    <w:rsid w:val="00290C74"/>
    <w:rsid w:val="002A2D3F"/>
    <w:rsid w:val="00300F84"/>
    <w:rsid w:val="00344EB8"/>
    <w:rsid w:val="00346BEC"/>
    <w:rsid w:val="003A76B1"/>
    <w:rsid w:val="003C583C"/>
    <w:rsid w:val="003F0078"/>
    <w:rsid w:val="00434A7C"/>
    <w:rsid w:val="0045143A"/>
    <w:rsid w:val="004529A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8D1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404B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550E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1057"/>
    <w:rsid w:val="00C779CE"/>
    <w:rsid w:val="00CC47C6"/>
    <w:rsid w:val="00CC4DE6"/>
    <w:rsid w:val="00CE5E47"/>
    <w:rsid w:val="00CF020F"/>
    <w:rsid w:val="00D22D3B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589AF76-B814-46E9-A34F-4702BDC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F839A0-861F-4FB0-B50B-2802B99D7E8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621</Words>
  <Characters>4356</Characters>
  <Application>Microsoft Office Word</Application>
  <DocSecurity>0</DocSecurity>
  <Lines>120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R15-WRC15-C-0032!A17!MSW-R</vt:lpstr>
    </vt:vector>
  </TitlesOfParts>
  <Manager>General Secretariat - Pool</Manager>
  <Company>International Telecommunication Union (ITU)</Company>
  <LinksUpToDate>false</LinksUpToDate>
  <CharactersWithSpaces>4921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R15-WRC15-C-0032!A17!MSW-R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2015-10-14T14:49:00Z</cp:lastPrinted>
  <dcterms:created xsi:type="dcterms:W3CDTF">2015-10-08T08:32:00Z</dcterms:created>
  <dcterms:modified xsi:type="dcterms:W3CDTF">2015-10-14T14:49:00Z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