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7476DB">
        <w:trPr>
          <w:cantSplit/>
        </w:trPr>
        <w:tc>
          <w:tcPr>
            <w:tcW w:w="6911" w:type="dxa"/>
          </w:tcPr>
          <w:p w:rsidR="00A066F1" w:rsidRPr="007476DB" w:rsidRDefault="00241FA2" w:rsidP="003B2284">
            <w:pPr>
              <w:spacing w:before="400" w:after="48" w:line="240" w:lineRule="atLeast"/>
              <w:rPr>
                <w:rFonts w:ascii="Verdana" w:hAnsi="Verdana"/>
                <w:position w:val="6"/>
              </w:rPr>
            </w:pPr>
            <w:r w:rsidRPr="007476DB">
              <w:rPr>
                <w:rFonts w:ascii="Verdana" w:hAnsi="Verdana" w:cs="Times"/>
                <w:b/>
                <w:position w:val="6"/>
                <w:sz w:val="22"/>
                <w:szCs w:val="22"/>
              </w:rPr>
              <w:t>World Radiocommunication Conference (WRC-15)</w:t>
            </w:r>
            <w:r w:rsidRPr="007476DB">
              <w:rPr>
                <w:rFonts w:ascii="Verdana" w:hAnsi="Verdana" w:cs="Times"/>
                <w:b/>
                <w:position w:val="6"/>
                <w:sz w:val="26"/>
                <w:szCs w:val="26"/>
              </w:rPr>
              <w:br/>
            </w:r>
            <w:r w:rsidRPr="007476DB">
              <w:rPr>
                <w:rFonts w:ascii="Verdana" w:hAnsi="Verdana"/>
                <w:b/>
                <w:bCs/>
                <w:position w:val="6"/>
                <w:sz w:val="18"/>
                <w:szCs w:val="18"/>
              </w:rPr>
              <w:t>Geneva, 2–27 November 2015</w:t>
            </w:r>
          </w:p>
        </w:tc>
        <w:tc>
          <w:tcPr>
            <w:tcW w:w="3120" w:type="dxa"/>
          </w:tcPr>
          <w:p w:rsidR="00A066F1" w:rsidRPr="007476DB" w:rsidRDefault="003B2284" w:rsidP="003B2284">
            <w:pPr>
              <w:spacing w:before="0" w:line="240" w:lineRule="atLeast"/>
              <w:jc w:val="right"/>
            </w:pPr>
            <w:bookmarkStart w:id="0" w:name="ditulogo"/>
            <w:bookmarkEnd w:id="0"/>
            <w:r w:rsidRPr="007476DB">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7476DB">
        <w:trPr>
          <w:cantSplit/>
        </w:trPr>
        <w:tc>
          <w:tcPr>
            <w:tcW w:w="6911" w:type="dxa"/>
            <w:tcBorders>
              <w:bottom w:val="single" w:sz="12" w:space="0" w:color="auto"/>
            </w:tcBorders>
          </w:tcPr>
          <w:p w:rsidR="00A066F1" w:rsidRPr="007476DB" w:rsidRDefault="003B2284" w:rsidP="00A066F1">
            <w:pPr>
              <w:spacing w:before="0" w:after="48" w:line="240" w:lineRule="atLeast"/>
              <w:rPr>
                <w:rFonts w:ascii="Verdana" w:hAnsi="Verdana"/>
                <w:b/>
                <w:smallCaps/>
                <w:sz w:val="20"/>
              </w:rPr>
            </w:pPr>
            <w:bookmarkStart w:id="1" w:name="dhead"/>
            <w:r w:rsidRPr="007476DB">
              <w:rPr>
                <w:rFonts w:ascii="Verdana" w:hAnsi="Verdana"/>
                <w:b/>
                <w:smallCaps/>
                <w:sz w:val="20"/>
              </w:rPr>
              <w:t>INTERNATIONAL TELECOMMUNICATION UNION</w:t>
            </w:r>
          </w:p>
        </w:tc>
        <w:tc>
          <w:tcPr>
            <w:tcW w:w="3120" w:type="dxa"/>
            <w:tcBorders>
              <w:bottom w:val="single" w:sz="12" w:space="0" w:color="auto"/>
            </w:tcBorders>
          </w:tcPr>
          <w:p w:rsidR="00A066F1" w:rsidRPr="007476DB" w:rsidRDefault="00A066F1" w:rsidP="00A066F1">
            <w:pPr>
              <w:spacing w:before="0" w:line="240" w:lineRule="atLeast"/>
              <w:rPr>
                <w:rFonts w:ascii="Verdana" w:hAnsi="Verdana"/>
                <w:szCs w:val="24"/>
              </w:rPr>
            </w:pPr>
          </w:p>
        </w:tc>
      </w:tr>
      <w:tr w:rsidR="00A066F1" w:rsidRPr="007476DB">
        <w:trPr>
          <w:cantSplit/>
        </w:trPr>
        <w:tc>
          <w:tcPr>
            <w:tcW w:w="6911" w:type="dxa"/>
            <w:tcBorders>
              <w:top w:val="single" w:sz="12" w:space="0" w:color="auto"/>
            </w:tcBorders>
          </w:tcPr>
          <w:p w:rsidR="00A066F1" w:rsidRPr="007476DB"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7476DB" w:rsidRDefault="00A066F1" w:rsidP="00A066F1">
            <w:pPr>
              <w:spacing w:before="0" w:line="240" w:lineRule="atLeast"/>
              <w:rPr>
                <w:rFonts w:ascii="Verdana" w:hAnsi="Verdana"/>
                <w:sz w:val="20"/>
              </w:rPr>
            </w:pPr>
          </w:p>
        </w:tc>
      </w:tr>
      <w:tr w:rsidR="00A066F1" w:rsidRPr="007476DB">
        <w:trPr>
          <w:cantSplit/>
          <w:trHeight w:val="23"/>
        </w:trPr>
        <w:tc>
          <w:tcPr>
            <w:tcW w:w="6911" w:type="dxa"/>
            <w:shd w:val="clear" w:color="auto" w:fill="auto"/>
          </w:tcPr>
          <w:p w:rsidR="00A066F1" w:rsidRPr="007476DB"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7476DB">
              <w:rPr>
                <w:rFonts w:ascii="Verdana" w:hAnsi="Verdana"/>
                <w:sz w:val="20"/>
                <w:szCs w:val="20"/>
              </w:rPr>
              <w:t>PLENARY MEETING</w:t>
            </w:r>
          </w:p>
        </w:tc>
        <w:tc>
          <w:tcPr>
            <w:tcW w:w="3120" w:type="dxa"/>
            <w:shd w:val="clear" w:color="auto" w:fill="auto"/>
          </w:tcPr>
          <w:p w:rsidR="00A066F1" w:rsidRPr="007476DB" w:rsidRDefault="00E55816" w:rsidP="00AA666F">
            <w:pPr>
              <w:tabs>
                <w:tab w:val="left" w:pos="851"/>
              </w:tabs>
              <w:spacing w:before="0" w:line="240" w:lineRule="atLeast"/>
              <w:rPr>
                <w:rFonts w:ascii="Verdana" w:hAnsi="Verdana"/>
                <w:sz w:val="20"/>
              </w:rPr>
            </w:pPr>
            <w:r w:rsidRPr="007476DB">
              <w:rPr>
                <w:rFonts w:ascii="Verdana" w:eastAsia="SimSun" w:hAnsi="Verdana" w:cs="Traditional Arabic"/>
                <w:b/>
                <w:sz w:val="20"/>
              </w:rPr>
              <w:t>Addendum 11 to</w:t>
            </w:r>
            <w:r w:rsidRPr="007476DB">
              <w:rPr>
                <w:rFonts w:ascii="Verdana" w:eastAsia="SimSun" w:hAnsi="Verdana" w:cs="Traditional Arabic"/>
                <w:b/>
                <w:sz w:val="20"/>
              </w:rPr>
              <w:br/>
              <w:t>Document 32(Add.21)</w:t>
            </w:r>
            <w:r w:rsidR="00A066F1" w:rsidRPr="007476DB">
              <w:rPr>
                <w:rFonts w:ascii="Verdana" w:hAnsi="Verdana"/>
                <w:b/>
                <w:sz w:val="20"/>
              </w:rPr>
              <w:t>-</w:t>
            </w:r>
            <w:r w:rsidR="005E10C9" w:rsidRPr="007476DB">
              <w:rPr>
                <w:rFonts w:ascii="Verdana" w:hAnsi="Verdana"/>
                <w:b/>
                <w:sz w:val="20"/>
              </w:rPr>
              <w:t>E</w:t>
            </w:r>
          </w:p>
        </w:tc>
      </w:tr>
      <w:tr w:rsidR="00A066F1" w:rsidRPr="007476DB">
        <w:trPr>
          <w:cantSplit/>
          <w:trHeight w:val="23"/>
        </w:trPr>
        <w:tc>
          <w:tcPr>
            <w:tcW w:w="6911" w:type="dxa"/>
            <w:shd w:val="clear" w:color="auto" w:fill="auto"/>
          </w:tcPr>
          <w:p w:rsidR="00A066F1" w:rsidRPr="007476DB"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7476DB" w:rsidRDefault="00420873" w:rsidP="00A066F1">
            <w:pPr>
              <w:tabs>
                <w:tab w:val="left" w:pos="993"/>
              </w:tabs>
              <w:spacing w:before="0"/>
              <w:rPr>
                <w:rFonts w:ascii="Verdana" w:hAnsi="Verdana"/>
                <w:sz w:val="20"/>
              </w:rPr>
            </w:pPr>
            <w:r w:rsidRPr="007476DB">
              <w:rPr>
                <w:rFonts w:ascii="Verdana" w:hAnsi="Verdana"/>
                <w:b/>
                <w:sz w:val="20"/>
              </w:rPr>
              <w:t>29 September 2015</w:t>
            </w:r>
          </w:p>
        </w:tc>
      </w:tr>
      <w:tr w:rsidR="00A066F1" w:rsidRPr="007476DB">
        <w:trPr>
          <w:cantSplit/>
          <w:trHeight w:val="23"/>
        </w:trPr>
        <w:tc>
          <w:tcPr>
            <w:tcW w:w="6911" w:type="dxa"/>
            <w:shd w:val="clear" w:color="auto" w:fill="auto"/>
          </w:tcPr>
          <w:p w:rsidR="00A066F1" w:rsidRPr="007476DB"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7476DB" w:rsidRDefault="00E55816" w:rsidP="00A066F1">
            <w:pPr>
              <w:tabs>
                <w:tab w:val="left" w:pos="993"/>
              </w:tabs>
              <w:spacing w:before="0"/>
              <w:rPr>
                <w:rFonts w:ascii="Verdana" w:hAnsi="Verdana"/>
                <w:b/>
                <w:sz w:val="20"/>
              </w:rPr>
            </w:pPr>
            <w:r w:rsidRPr="007476DB">
              <w:rPr>
                <w:rFonts w:ascii="Verdana" w:hAnsi="Verdana"/>
                <w:b/>
                <w:sz w:val="20"/>
              </w:rPr>
              <w:t>Original: English</w:t>
            </w:r>
          </w:p>
        </w:tc>
      </w:tr>
      <w:tr w:rsidR="00A066F1" w:rsidRPr="007476DB" w:rsidTr="00025864">
        <w:trPr>
          <w:cantSplit/>
          <w:trHeight w:val="23"/>
        </w:trPr>
        <w:tc>
          <w:tcPr>
            <w:tcW w:w="10031" w:type="dxa"/>
            <w:gridSpan w:val="2"/>
            <w:shd w:val="clear" w:color="auto" w:fill="auto"/>
          </w:tcPr>
          <w:p w:rsidR="00A066F1" w:rsidRPr="007476DB" w:rsidRDefault="00A066F1" w:rsidP="00A066F1">
            <w:pPr>
              <w:tabs>
                <w:tab w:val="left" w:pos="993"/>
              </w:tabs>
              <w:spacing w:before="0"/>
              <w:rPr>
                <w:rFonts w:ascii="Verdana" w:hAnsi="Verdana"/>
                <w:b/>
                <w:sz w:val="20"/>
              </w:rPr>
            </w:pPr>
          </w:p>
        </w:tc>
      </w:tr>
      <w:tr w:rsidR="00E55816" w:rsidRPr="007476DB" w:rsidTr="00025864">
        <w:trPr>
          <w:cantSplit/>
          <w:trHeight w:val="23"/>
        </w:trPr>
        <w:tc>
          <w:tcPr>
            <w:tcW w:w="10031" w:type="dxa"/>
            <w:gridSpan w:val="2"/>
            <w:shd w:val="clear" w:color="auto" w:fill="auto"/>
          </w:tcPr>
          <w:p w:rsidR="00E55816" w:rsidRPr="007476DB" w:rsidRDefault="00884D60" w:rsidP="00E55816">
            <w:pPr>
              <w:pStyle w:val="Source"/>
            </w:pPr>
            <w:r w:rsidRPr="007476DB">
              <w:t>Asia-Pacific Telecommunity Common Proposals</w:t>
            </w:r>
          </w:p>
        </w:tc>
      </w:tr>
      <w:tr w:rsidR="00E55816" w:rsidRPr="007476DB" w:rsidTr="00025864">
        <w:trPr>
          <w:cantSplit/>
          <w:trHeight w:val="23"/>
        </w:trPr>
        <w:tc>
          <w:tcPr>
            <w:tcW w:w="10031" w:type="dxa"/>
            <w:gridSpan w:val="2"/>
            <w:shd w:val="clear" w:color="auto" w:fill="auto"/>
          </w:tcPr>
          <w:p w:rsidR="00E55816" w:rsidRPr="007476DB" w:rsidRDefault="007D5320" w:rsidP="00E55816">
            <w:pPr>
              <w:pStyle w:val="Title1"/>
            </w:pPr>
            <w:r w:rsidRPr="007476DB">
              <w:t>Proposals for the work of the conference</w:t>
            </w:r>
          </w:p>
        </w:tc>
      </w:tr>
      <w:tr w:rsidR="00E55816" w:rsidRPr="007476DB" w:rsidTr="00025864">
        <w:trPr>
          <w:cantSplit/>
          <w:trHeight w:val="23"/>
        </w:trPr>
        <w:tc>
          <w:tcPr>
            <w:tcW w:w="10031" w:type="dxa"/>
            <w:gridSpan w:val="2"/>
            <w:shd w:val="clear" w:color="auto" w:fill="auto"/>
          </w:tcPr>
          <w:p w:rsidR="00E55816" w:rsidRPr="007476DB" w:rsidRDefault="00E55816" w:rsidP="00E55816">
            <w:pPr>
              <w:pStyle w:val="Title2"/>
            </w:pPr>
          </w:p>
        </w:tc>
      </w:tr>
      <w:tr w:rsidR="00A538A6" w:rsidRPr="007476DB" w:rsidTr="00025864">
        <w:trPr>
          <w:cantSplit/>
          <w:trHeight w:val="23"/>
        </w:trPr>
        <w:tc>
          <w:tcPr>
            <w:tcW w:w="10031" w:type="dxa"/>
            <w:gridSpan w:val="2"/>
            <w:shd w:val="clear" w:color="auto" w:fill="auto"/>
          </w:tcPr>
          <w:p w:rsidR="00A538A6" w:rsidRPr="007476DB" w:rsidRDefault="004B13CB" w:rsidP="004B13CB">
            <w:pPr>
              <w:pStyle w:val="Agendaitem"/>
              <w:rPr>
                <w:lang w:val="en-GB"/>
              </w:rPr>
            </w:pPr>
            <w:r w:rsidRPr="007476DB">
              <w:rPr>
                <w:lang w:val="en-GB"/>
              </w:rPr>
              <w:t>Agenda item 7(K)</w:t>
            </w:r>
          </w:p>
        </w:tc>
      </w:tr>
    </w:tbl>
    <w:bookmarkEnd w:id="6"/>
    <w:bookmarkEnd w:id="7"/>
    <w:p w:rsidR="00B02325" w:rsidRPr="007476DB" w:rsidRDefault="00C62C22" w:rsidP="001C7D70">
      <w:pPr>
        <w:overflowPunct/>
        <w:autoSpaceDE/>
        <w:autoSpaceDN/>
        <w:adjustRightInd/>
        <w:textAlignment w:val="auto"/>
      </w:pPr>
      <w:r w:rsidRPr="007476DB">
        <w:t>7</w:t>
      </w:r>
      <w:r w:rsidRPr="007476DB">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7476DB">
        <w:rPr>
          <w:b/>
          <w:bCs/>
        </w:rPr>
        <w:t>86 (Rev.WRC</w:t>
      </w:r>
      <w:r w:rsidRPr="007476DB">
        <w:rPr>
          <w:b/>
          <w:bCs/>
        </w:rPr>
        <w:noBreakHyphen/>
        <w:t>07)</w:t>
      </w:r>
      <w:r w:rsidRPr="007476DB">
        <w:t xml:space="preserve"> to facilita</w:t>
      </w:r>
      <w:bookmarkStart w:id="8" w:name="_GoBack"/>
      <w:bookmarkEnd w:id="8"/>
      <w:r w:rsidRPr="007476DB">
        <w:t>te rational, efficient, and economical use of radio frequencies and any associated orbits, including the geostationary</w:t>
      </w:r>
      <w:r w:rsidRPr="007476DB">
        <w:noBreakHyphen/>
        <w:t>satellite orbit;</w:t>
      </w:r>
    </w:p>
    <w:p w:rsidR="00B02325" w:rsidRPr="007476DB" w:rsidRDefault="00C62C22" w:rsidP="00931C9E">
      <w:r w:rsidRPr="007476DB">
        <w:t>7(K)</w:t>
      </w:r>
      <w:r w:rsidRPr="007476DB">
        <w:tab/>
        <w:t xml:space="preserve">Issue K – Addition of a regulatory provision in RR Article </w:t>
      </w:r>
      <w:r w:rsidRPr="007476DB">
        <w:rPr>
          <w:b/>
          <w:bCs/>
        </w:rPr>
        <w:t>11</w:t>
      </w:r>
      <w:r w:rsidRPr="007476DB">
        <w:t xml:space="preserve"> for the case of launch failure</w:t>
      </w:r>
    </w:p>
    <w:p w:rsidR="00603C50" w:rsidRPr="007476DB" w:rsidRDefault="00603C50" w:rsidP="00603C50">
      <w:pPr>
        <w:spacing w:before="0"/>
      </w:pPr>
    </w:p>
    <w:p w:rsidR="00C62C22" w:rsidRPr="007476DB" w:rsidRDefault="00C62C22" w:rsidP="00C62C22">
      <w:pPr>
        <w:pStyle w:val="Headingb"/>
        <w:rPr>
          <w:lang w:val="en-GB" w:eastAsia="ko-KR"/>
        </w:rPr>
      </w:pPr>
      <w:r w:rsidRPr="007476DB">
        <w:rPr>
          <w:lang w:val="en-GB" w:eastAsia="ko-KR"/>
        </w:rPr>
        <w:t xml:space="preserve">Introduction </w:t>
      </w:r>
    </w:p>
    <w:p w:rsidR="00C62C22" w:rsidRPr="007476DB" w:rsidRDefault="00C62C22" w:rsidP="00603C50">
      <w:pPr>
        <w:rPr>
          <w:b/>
          <w:iCs/>
        </w:rPr>
      </w:pPr>
      <w:r w:rsidRPr="007476DB">
        <w:t>APT Members support the Method K2 with its proposed regulatory text</w:t>
      </w:r>
      <w:r w:rsidR="00291364" w:rsidRPr="007476DB">
        <w:t>, as it was added to the CPM </w:t>
      </w:r>
      <w:r w:rsidRPr="007476DB">
        <w:t>Report</w:t>
      </w:r>
      <w:r w:rsidRPr="007476DB">
        <w:rPr>
          <w:b/>
          <w:iCs/>
        </w:rPr>
        <w:t>.</w:t>
      </w:r>
    </w:p>
    <w:p w:rsidR="00C62C22" w:rsidRPr="007476DB" w:rsidRDefault="00C62C22" w:rsidP="00603C50">
      <w:pPr>
        <w:pStyle w:val="Headingb"/>
        <w:rPr>
          <w:lang w:val="en-GB"/>
        </w:rPr>
      </w:pPr>
      <w:r w:rsidRPr="007476DB">
        <w:rPr>
          <w:lang w:val="en-GB"/>
        </w:rPr>
        <w:t>Proposal</w:t>
      </w:r>
    </w:p>
    <w:p w:rsidR="00187BD9" w:rsidRPr="007476DB" w:rsidRDefault="00187BD9" w:rsidP="00187BD9">
      <w:pPr>
        <w:tabs>
          <w:tab w:val="clear" w:pos="1134"/>
          <w:tab w:val="clear" w:pos="1871"/>
          <w:tab w:val="clear" w:pos="2268"/>
        </w:tabs>
        <w:overflowPunct/>
        <w:autoSpaceDE/>
        <w:autoSpaceDN/>
        <w:adjustRightInd/>
        <w:spacing w:before="0"/>
        <w:textAlignment w:val="auto"/>
      </w:pPr>
      <w:r w:rsidRPr="007476DB">
        <w:br w:type="page"/>
      </w:r>
    </w:p>
    <w:p w:rsidR="009B463A" w:rsidRPr="007476DB" w:rsidRDefault="00C62C22" w:rsidP="00FB3369">
      <w:pPr>
        <w:pStyle w:val="ArtNo"/>
      </w:pPr>
      <w:bookmarkStart w:id="9" w:name="_Toc327956595"/>
      <w:r w:rsidRPr="007476DB">
        <w:lastRenderedPageBreak/>
        <w:t xml:space="preserve">ARTICLE </w:t>
      </w:r>
      <w:r w:rsidRPr="007476DB">
        <w:rPr>
          <w:rStyle w:val="href"/>
          <w:noProof/>
        </w:rPr>
        <w:t>11</w:t>
      </w:r>
      <w:bookmarkEnd w:id="9"/>
    </w:p>
    <w:p w:rsidR="009B463A" w:rsidRPr="007476DB" w:rsidRDefault="00C62C22" w:rsidP="009B463A">
      <w:pPr>
        <w:pStyle w:val="Arttitle"/>
        <w:rPr>
          <w:sz w:val="16"/>
          <w:szCs w:val="16"/>
        </w:rPr>
      </w:pPr>
      <w:bookmarkStart w:id="10" w:name="_Toc327956596"/>
      <w:r w:rsidRPr="007476DB">
        <w:t xml:space="preserve">Notification and recording of frequency </w:t>
      </w:r>
      <w:r w:rsidRPr="007476DB">
        <w:br/>
        <w:t>assignments</w:t>
      </w:r>
      <w:r w:rsidRPr="007476DB">
        <w:rPr>
          <w:rStyle w:val="FootnoteReference"/>
        </w:rPr>
        <w:t>1, 2, 3, 4, 5, 6, 7, 7</w:t>
      </w:r>
      <w:r w:rsidRPr="007476DB">
        <w:rPr>
          <w:rStyle w:val="FootnoteReference"/>
          <w:i/>
          <w:iCs/>
        </w:rPr>
        <w:t>bis</w:t>
      </w:r>
      <w:r w:rsidRPr="007476DB">
        <w:rPr>
          <w:b w:val="0"/>
          <w:bCs/>
          <w:sz w:val="16"/>
          <w:szCs w:val="16"/>
        </w:rPr>
        <w:t>    (WRC</w:t>
      </w:r>
      <w:r w:rsidRPr="007476DB">
        <w:rPr>
          <w:b w:val="0"/>
          <w:bCs/>
          <w:sz w:val="16"/>
          <w:szCs w:val="16"/>
        </w:rPr>
        <w:noBreakHyphen/>
        <w:t>12)</w:t>
      </w:r>
      <w:bookmarkEnd w:id="10"/>
    </w:p>
    <w:p w:rsidR="009B463A" w:rsidRPr="007476DB" w:rsidRDefault="00C62C22" w:rsidP="009B463A">
      <w:pPr>
        <w:pStyle w:val="Section1"/>
        <w:keepNext/>
      </w:pPr>
      <w:r w:rsidRPr="007476DB">
        <w:t xml:space="preserve">Section II − Examination of notices and recording of frequency assignments </w:t>
      </w:r>
      <w:r w:rsidRPr="007476DB">
        <w:br/>
        <w:t>in the Master Register</w:t>
      </w:r>
    </w:p>
    <w:p w:rsidR="004A1932" w:rsidRPr="007476DB" w:rsidRDefault="00C62C22">
      <w:pPr>
        <w:pStyle w:val="Proposal"/>
      </w:pPr>
      <w:r w:rsidRPr="007476DB">
        <w:t>ADD</w:t>
      </w:r>
      <w:r w:rsidRPr="007476DB">
        <w:tab/>
        <w:t>ASP/32A21A11/1</w:t>
      </w:r>
    </w:p>
    <w:p w:rsidR="00C62C22" w:rsidRPr="007476DB" w:rsidRDefault="00C62C22" w:rsidP="00603C50">
      <w:r w:rsidRPr="007476DB">
        <w:rPr>
          <w:rStyle w:val="Artdef"/>
        </w:rPr>
        <w:t>11.XX</w:t>
      </w:r>
      <w:r w:rsidRPr="007476DB">
        <w:tab/>
      </w:r>
      <w:r w:rsidR="00603C50" w:rsidRPr="007476DB">
        <w:tab/>
      </w:r>
      <w:r w:rsidRPr="007476DB">
        <w:t>In case of a newly launched satellite failure, before entering the ninety-day bringing into use or bringing back into use period, in the following case:</w:t>
      </w:r>
    </w:p>
    <w:p w:rsidR="00C62C22" w:rsidRPr="007476DB" w:rsidRDefault="00C62C22" w:rsidP="00C62C22">
      <w:pPr>
        <w:pStyle w:val="enumlev1"/>
      </w:pPr>
      <w:r w:rsidRPr="007476DB">
        <w:t>–</w:t>
      </w:r>
      <w:r w:rsidRPr="007476DB">
        <w:tab/>
        <w:t>the destruction of the satellite launched intended to bring or bring back the assignment into use,</w:t>
      </w:r>
    </w:p>
    <w:p w:rsidR="00C62C22" w:rsidRPr="007476DB" w:rsidRDefault="00C62C22" w:rsidP="00C62C22">
      <w:r w:rsidRPr="007476DB">
        <w:t>the notifying administration may submit the case to the Board, within one month of the launch failure, for its consideration and careful investigation, taking into account all supporting materials, including details on the satellite that failed, to enable the Board to decide on the matter, as appropriate.</w:t>
      </w:r>
    </w:p>
    <w:p w:rsidR="00C62C22" w:rsidRPr="007476DB" w:rsidRDefault="00C62C22" w:rsidP="00C62C22">
      <w:r w:rsidRPr="007476DB">
        <w:t>For any extension to be granted by the Board, the launch failure must have occurred at least four years after the date of receipt of the complete information under No. </w:t>
      </w:r>
      <w:r w:rsidRPr="007476DB">
        <w:rPr>
          <w:b/>
          <w:bCs/>
        </w:rPr>
        <w:t>9.1</w:t>
      </w:r>
      <w:r w:rsidRPr="007476DB">
        <w:t xml:space="preserve"> or occurred during the suspension period under No. </w:t>
      </w:r>
      <w:r w:rsidRPr="007476DB">
        <w:rPr>
          <w:b/>
          <w:bCs/>
        </w:rPr>
        <w:t>11.49</w:t>
      </w:r>
      <w:r w:rsidRPr="007476DB">
        <w:t>, as appropriate. In no case shall the period of the extension of the regulatory time-limit exceed three years or the difference in time between the three-year period and the period remaining from the date of the launch failure to the end of the regulatory time-limit.</w:t>
      </w:r>
    </w:p>
    <w:p w:rsidR="00C62C22" w:rsidRPr="007476DB" w:rsidRDefault="00C62C22" w:rsidP="00603C50">
      <w:r w:rsidRPr="007476DB">
        <w:t>In considering such a matter, the Board may determine on a case-by-case basis whether it is appropriate to apply the provisions of RR No. </w:t>
      </w:r>
      <w:r w:rsidRPr="007476DB">
        <w:rPr>
          <w:b/>
          <w:bCs/>
        </w:rPr>
        <w:t>11.44B</w:t>
      </w:r>
      <w:r w:rsidRPr="007476DB">
        <w:t xml:space="preserve"> or No. </w:t>
      </w:r>
      <w:r w:rsidRPr="007476DB">
        <w:rPr>
          <w:b/>
          <w:bCs/>
        </w:rPr>
        <w:t>11.49</w:t>
      </w:r>
      <w:r w:rsidRPr="007476DB">
        <w:t xml:space="preserve"> to the relevant frequency assignments in this case.</w:t>
      </w:r>
      <w:r w:rsidRPr="007476DB">
        <w:rPr>
          <w:sz w:val="16"/>
          <w:szCs w:val="16"/>
        </w:rPr>
        <w:t>     (WRC</w:t>
      </w:r>
      <w:r w:rsidR="00603C50" w:rsidRPr="007476DB">
        <w:rPr>
          <w:sz w:val="16"/>
          <w:szCs w:val="16"/>
        </w:rPr>
        <w:noBreakHyphen/>
      </w:r>
      <w:r w:rsidRPr="007476DB">
        <w:rPr>
          <w:sz w:val="16"/>
          <w:szCs w:val="16"/>
        </w:rPr>
        <w:t>15)</w:t>
      </w:r>
    </w:p>
    <w:p w:rsidR="004A1932" w:rsidRPr="007476DB" w:rsidRDefault="00603C50" w:rsidP="00603C50">
      <w:pPr>
        <w:pStyle w:val="Note"/>
        <w:rPr>
          <w:i/>
          <w:iCs/>
        </w:rPr>
      </w:pPr>
      <w:r w:rsidRPr="007476DB">
        <w:rPr>
          <w:i/>
          <w:iCs/>
        </w:rPr>
        <w:t>NOTE –</w:t>
      </w:r>
      <w:r w:rsidR="00C62C22" w:rsidRPr="007476DB">
        <w:rPr>
          <w:i/>
          <w:iCs/>
        </w:rPr>
        <w:t xml:space="preserve"> The inclusion of additional cases of launch failure is a topic for further discussions at WRC</w:t>
      </w:r>
      <w:r w:rsidR="00C62C22" w:rsidRPr="007476DB">
        <w:rPr>
          <w:i/>
          <w:iCs/>
        </w:rPr>
        <w:noBreakHyphen/>
        <w:t>15.</w:t>
      </w:r>
    </w:p>
    <w:p w:rsidR="00C62C22" w:rsidRPr="007476DB" w:rsidRDefault="00C62C22" w:rsidP="00603C50">
      <w:pPr>
        <w:pStyle w:val="Reasons"/>
      </w:pPr>
    </w:p>
    <w:p w:rsidR="00C62C22" w:rsidRPr="007476DB" w:rsidRDefault="00C62C22" w:rsidP="0032202E">
      <w:pPr>
        <w:pStyle w:val="Reasons"/>
      </w:pPr>
    </w:p>
    <w:p w:rsidR="004A1932" w:rsidRPr="007476DB" w:rsidRDefault="00C62C22" w:rsidP="00603C50">
      <w:pPr>
        <w:jc w:val="center"/>
      </w:pPr>
      <w:r w:rsidRPr="007476DB">
        <w:t>______________</w:t>
      </w:r>
    </w:p>
    <w:sectPr w:rsidR="004A1932" w:rsidRPr="007476DB">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962C44">
      <w:rPr>
        <w:noProof/>
      </w:rPr>
      <w:t>01.10.15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603C50">
      <w:rPr>
        <w:lang w:val="en-US"/>
      </w:rPr>
      <w:t>P:\ENG\ITU-R\CONF-R\CMR15\000\032ADD21ADD11E.docx</w:t>
    </w:r>
    <w:r>
      <w:fldChar w:fldCharType="end"/>
    </w:r>
    <w:r w:rsidR="00603C50">
      <w:t xml:space="preserve"> (387339)</w:t>
    </w:r>
    <w:r w:rsidRPr="0041348E">
      <w:rPr>
        <w:lang w:val="en-US"/>
      </w:rPr>
      <w:tab/>
    </w:r>
    <w:r>
      <w:fldChar w:fldCharType="begin"/>
    </w:r>
    <w:r>
      <w:instrText xml:space="preserve"> SAVEDATE \@ DD.MM.YY </w:instrText>
    </w:r>
    <w:r>
      <w:fldChar w:fldCharType="separate"/>
    </w:r>
    <w:r w:rsidR="00603C50">
      <w:t>14.10.15</w:t>
    </w:r>
    <w:r>
      <w:fldChar w:fldCharType="end"/>
    </w:r>
    <w:r w:rsidRPr="0041348E">
      <w:rPr>
        <w:lang w:val="en-US"/>
      </w:rPr>
      <w:tab/>
    </w:r>
    <w:r>
      <w:fldChar w:fldCharType="begin"/>
    </w:r>
    <w:r>
      <w:instrText xml:space="preserve"> PRINTDATE \@ DD.MM.YY </w:instrText>
    </w:r>
    <w:r>
      <w:fldChar w:fldCharType="separate"/>
    </w:r>
    <w:r w:rsidR="00603C50">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603C50">
      <w:rPr>
        <w:lang w:val="en-US"/>
      </w:rPr>
      <w:t>P:\ENG\ITU-R\CONF-R\CMR15\000\032ADD21ADD11E.docx</w:t>
    </w:r>
    <w:r>
      <w:fldChar w:fldCharType="end"/>
    </w:r>
    <w:r w:rsidR="00603C50">
      <w:t xml:space="preserve"> (387339)</w:t>
    </w:r>
    <w:r w:rsidRPr="0041348E">
      <w:rPr>
        <w:lang w:val="en-US"/>
      </w:rPr>
      <w:tab/>
    </w:r>
    <w:r>
      <w:fldChar w:fldCharType="begin"/>
    </w:r>
    <w:r>
      <w:instrText xml:space="preserve"> SAVEDATE \@ DD.MM.YY </w:instrText>
    </w:r>
    <w:r>
      <w:fldChar w:fldCharType="separate"/>
    </w:r>
    <w:r w:rsidR="00603C50">
      <w:t>14.10.15</w:t>
    </w:r>
    <w:r>
      <w:fldChar w:fldCharType="end"/>
    </w:r>
    <w:r w:rsidRPr="0041348E">
      <w:rPr>
        <w:lang w:val="en-US"/>
      </w:rPr>
      <w:tab/>
    </w:r>
    <w:r>
      <w:fldChar w:fldCharType="begin"/>
    </w:r>
    <w:r>
      <w:instrText xml:space="preserve"> PRINTDATE \@ DD.MM.YY </w:instrText>
    </w:r>
    <w:r>
      <w:fldChar w:fldCharType="separate"/>
    </w:r>
    <w:r w:rsidR="00603C50">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7476DB">
      <w:rPr>
        <w:noProof/>
      </w:rPr>
      <w:t>2</w:t>
    </w:r>
    <w:r>
      <w:fldChar w:fldCharType="end"/>
    </w:r>
  </w:p>
  <w:p w:rsidR="00A066F1" w:rsidRPr="00A066F1" w:rsidRDefault="00187BD9" w:rsidP="00241FA2">
    <w:pPr>
      <w:pStyle w:val="Header"/>
    </w:pPr>
    <w:r>
      <w:t>CMR1</w:t>
    </w:r>
    <w:r w:rsidR="00241FA2">
      <w:t>5</w:t>
    </w:r>
    <w:r w:rsidR="00A066F1">
      <w:t>/</w:t>
    </w:r>
    <w:bookmarkStart w:id="11" w:name="OLE_LINK1"/>
    <w:bookmarkStart w:id="12" w:name="OLE_LINK2"/>
    <w:bookmarkStart w:id="13" w:name="OLE_LINK3"/>
    <w:r w:rsidR="00EB55C6">
      <w:t>32(Add.21)(Add.11)</w:t>
    </w:r>
    <w:bookmarkEnd w:id="11"/>
    <w:bookmarkEnd w:id="12"/>
    <w:bookmarkEnd w:id="1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91364"/>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1932"/>
    <w:rsid w:val="004A26C4"/>
    <w:rsid w:val="004B13CB"/>
    <w:rsid w:val="004D26EA"/>
    <w:rsid w:val="004D2BFB"/>
    <w:rsid w:val="004D5D5C"/>
    <w:rsid w:val="0050139F"/>
    <w:rsid w:val="0055140B"/>
    <w:rsid w:val="005964AB"/>
    <w:rsid w:val="005A5637"/>
    <w:rsid w:val="005C099A"/>
    <w:rsid w:val="005C31A5"/>
    <w:rsid w:val="005E10C9"/>
    <w:rsid w:val="005E290B"/>
    <w:rsid w:val="005E61DD"/>
    <w:rsid w:val="006023DF"/>
    <w:rsid w:val="00603C50"/>
    <w:rsid w:val="00616219"/>
    <w:rsid w:val="00657DE0"/>
    <w:rsid w:val="00685313"/>
    <w:rsid w:val="00692833"/>
    <w:rsid w:val="006A6E9B"/>
    <w:rsid w:val="006B7C2A"/>
    <w:rsid w:val="006C23DA"/>
    <w:rsid w:val="006E3D45"/>
    <w:rsid w:val="007149F9"/>
    <w:rsid w:val="00733A30"/>
    <w:rsid w:val="00745AEE"/>
    <w:rsid w:val="007476DB"/>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62C44"/>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2C22"/>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D59763C-6B6C-4033-9353-D9BEA367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enumlev1Char">
    <w:name w:val="enumlev1 Char"/>
    <w:basedOn w:val="DefaultParagraphFont"/>
    <w:link w:val="enumlev1"/>
    <w:rsid w:val="00C62C2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R15-WRC15-C-0032!A21-A11!MSW-E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5DED8-F060-462D-B9AF-789212BEB3ED}">
  <ds:schemaRefs>
    <ds:schemaRef ds:uri="http://purl.org/dc/elements/1.1/"/>
    <ds:schemaRef ds:uri="http://purl.org/dc/dcmitype/"/>
    <ds:schemaRef ds:uri="http://purl.org/dc/terms/"/>
    <ds:schemaRef ds:uri="996b2e75-67fd-4955-a3b0-5ab9934cb50b"/>
    <ds:schemaRef ds:uri="http://www.w3.org/XML/1998/namespace"/>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A3800DB4-5697-4691-B504-50D37C16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TotalTime>
  <Pages>2</Pages>
  <Words>398</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R15-WRC15-C-0032!A21-A11!MSW-E</vt:lpstr>
    </vt:vector>
  </TitlesOfParts>
  <Manager>General Secretariat - Pool</Manager>
  <Company>International Telecommunication Union (ITU)</Company>
  <LinksUpToDate>false</LinksUpToDate>
  <CharactersWithSpaces>2640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R15-WRC15-C-0032!A21-A11!MSW-E</dc:title>
  <dc:subject>World Radiocommunication Conference - 2015</dc:subject>
  <dc:creator>Documents Proposals Manager (DPM)</dc:creator>
  <cp:keywords>DPM_v5.2015.9.16_prod</cp:keywords>
  <dc:description>Uploaded on 2015.07.06</dc:description>
  <cp:lastModifiedBy>Turnbull, Karen</cp:lastModifiedBy>
  <cp:revision>5</cp:revision>
  <cp:lastPrinted>2014-02-10T09:49:00Z</cp:lastPrinted>
  <dcterms:created xsi:type="dcterms:W3CDTF">2015-10-14T07:24:00Z</dcterms:created>
  <dcterms:modified xsi:type="dcterms:W3CDTF">2015-10-14T07:32:00Z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