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244930" w:rsidTr="00EE53EE">
        <w:trPr>
          <w:cantSplit/>
        </w:trPr>
        <w:tc>
          <w:tcPr>
            <w:tcW w:w="6804" w:type="dxa"/>
          </w:tcPr>
          <w:p w:rsidR="0090121B" w:rsidRPr="0024493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4493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</w:t>
            </w:r>
            <w:proofErr w:type="spellStart"/>
            <w:r w:rsidRPr="00244930">
              <w:rPr>
                <w:rFonts w:ascii="Verdana" w:hAnsi="Verdana" w:cs="Times"/>
                <w:b/>
                <w:position w:val="6"/>
                <w:sz w:val="20"/>
              </w:rPr>
              <w:t>CMR</w:t>
            </w:r>
            <w:proofErr w:type="spellEnd"/>
            <w:r w:rsidRPr="00244930">
              <w:rPr>
                <w:rFonts w:ascii="Verdana" w:hAnsi="Verdana" w:cs="Times"/>
                <w:b/>
                <w:position w:val="6"/>
                <w:sz w:val="20"/>
              </w:rPr>
              <w:t>-15)</w:t>
            </w:r>
            <w:r w:rsidRPr="0024493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244930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244930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44930">
              <w:rPr>
                <w:noProof/>
                <w:lang w:eastAsia="zh-CN"/>
              </w:rPr>
              <w:drawing>
                <wp:inline distT="0" distB="0" distL="0" distR="0" wp14:anchorId="4E0F1B16" wp14:editId="348F0D1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44930" w:rsidTr="00EE53EE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244930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244930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24493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244930" w:rsidTr="00EE53EE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24493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24493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244930" w:rsidTr="00EE53EE">
        <w:trPr>
          <w:cantSplit/>
        </w:trPr>
        <w:tc>
          <w:tcPr>
            <w:tcW w:w="6804" w:type="dxa"/>
            <w:shd w:val="clear" w:color="auto" w:fill="auto"/>
          </w:tcPr>
          <w:p w:rsidR="0090121B" w:rsidRPr="00244930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44930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244930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244930">
              <w:rPr>
                <w:rFonts w:ascii="Verdana" w:eastAsia="SimSun" w:hAnsi="Verdana" w:cs="Traditional Arabic"/>
                <w:b/>
                <w:sz w:val="20"/>
              </w:rPr>
              <w:t>Addéndum</w:t>
            </w:r>
            <w:proofErr w:type="spellEnd"/>
            <w:r w:rsidRPr="00244930">
              <w:rPr>
                <w:rFonts w:ascii="Verdana" w:eastAsia="SimSun" w:hAnsi="Verdana" w:cs="Traditional Arabic"/>
                <w:b/>
                <w:sz w:val="20"/>
              </w:rPr>
              <w:t xml:space="preserve"> 6 al</w:t>
            </w:r>
            <w:r w:rsidRPr="00244930">
              <w:rPr>
                <w:rFonts w:ascii="Verdana" w:eastAsia="SimSun" w:hAnsi="Verdana" w:cs="Traditional Arabic"/>
                <w:b/>
                <w:sz w:val="20"/>
              </w:rPr>
              <w:br/>
              <w:t>Documento 32</w:t>
            </w:r>
            <w:r w:rsidR="0090121B" w:rsidRPr="00244930">
              <w:rPr>
                <w:rFonts w:ascii="Verdana" w:hAnsi="Verdana"/>
                <w:b/>
                <w:sz w:val="20"/>
              </w:rPr>
              <w:t>-</w:t>
            </w:r>
            <w:r w:rsidRPr="00244930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244930" w:rsidTr="00EE53EE">
        <w:trPr>
          <w:cantSplit/>
        </w:trPr>
        <w:tc>
          <w:tcPr>
            <w:tcW w:w="6804" w:type="dxa"/>
            <w:shd w:val="clear" w:color="auto" w:fill="auto"/>
          </w:tcPr>
          <w:p w:rsidR="000A5B9A" w:rsidRPr="0024493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24493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44930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244930" w:rsidTr="00EE53EE">
        <w:trPr>
          <w:cantSplit/>
        </w:trPr>
        <w:tc>
          <w:tcPr>
            <w:tcW w:w="6804" w:type="dxa"/>
          </w:tcPr>
          <w:p w:rsidR="000A5B9A" w:rsidRPr="0024493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24493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44930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244930" w:rsidTr="006744FC">
        <w:trPr>
          <w:cantSplit/>
        </w:trPr>
        <w:tc>
          <w:tcPr>
            <w:tcW w:w="10031" w:type="dxa"/>
            <w:gridSpan w:val="2"/>
          </w:tcPr>
          <w:p w:rsidR="000A5B9A" w:rsidRPr="0024493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244930" w:rsidTr="0050008E">
        <w:trPr>
          <w:cantSplit/>
        </w:trPr>
        <w:tc>
          <w:tcPr>
            <w:tcW w:w="10031" w:type="dxa"/>
            <w:gridSpan w:val="2"/>
          </w:tcPr>
          <w:p w:rsidR="000A5B9A" w:rsidRPr="00244930" w:rsidRDefault="000A5B9A" w:rsidP="000A5B9A">
            <w:pPr>
              <w:pStyle w:val="Source"/>
            </w:pPr>
            <w:bookmarkStart w:id="2" w:name="dsource" w:colFirst="0" w:colLast="0"/>
            <w:r w:rsidRPr="00244930">
              <w:t xml:space="preserve">Propuestas Comunes de la </w:t>
            </w:r>
            <w:proofErr w:type="spellStart"/>
            <w:r w:rsidRPr="00244930">
              <w:t>Telecomunidad</w:t>
            </w:r>
            <w:proofErr w:type="spellEnd"/>
            <w:r w:rsidRPr="00244930">
              <w:t xml:space="preserve"> Asia-Pacífico</w:t>
            </w:r>
          </w:p>
        </w:tc>
      </w:tr>
      <w:tr w:rsidR="000A5B9A" w:rsidRPr="00244930" w:rsidTr="0050008E">
        <w:trPr>
          <w:cantSplit/>
        </w:trPr>
        <w:tc>
          <w:tcPr>
            <w:tcW w:w="10031" w:type="dxa"/>
            <w:gridSpan w:val="2"/>
          </w:tcPr>
          <w:p w:rsidR="000A5B9A" w:rsidRPr="00244930" w:rsidRDefault="00D91676" w:rsidP="000A5B9A">
            <w:pPr>
              <w:pStyle w:val="Title1"/>
            </w:pPr>
            <w:bookmarkStart w:id="3" w:name="dtitle1" w:colFirst="0" w:colLast="0"/>
            <w:bookmarkEnd w:id="2"/>
            <w:r w:rsidRPr="00244930">
              <w:t>PROPUESTAS PARA LOS TRABAJOS DE LA CONFERENCIA</w:t>
            </w:r>
          </w:p>
        </w:tc>
      </w:tr>
      <w:tr w:rsidR="000A5B9A" w:rsidRPr="00244930" w:rsidTr="0050008E">
        <w:trPr>
          <w:cantSplit/>
        </w:trPr>
        <w:tc>
          <w:tcPr>
            <w:tcW w:w="10031" w:type="dxa"/>
            <w:gridSpan w:val="2"/>
          </w:tcPr>
          <w:p w:rsidR="000A5B9A" w:rsidRPr="00244930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244930" w:rsidTr="0050008E">
        <w:trPr>
          <w:cantSplit/>
        </w:trPr>
        <w:tc>
          <w:tcPr>
            <w:tcW w:w="10031" w:type="dxa"/>
            <w:gridSpan w:val="2"/>
          </w:tcPr>
          <w:p w:rsidR="000A5B9A" w:rsidRPr="00244930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244930">
              <w:t>Punto 1.6 del orden del día</w:t>
            </w:r>
          </w:p>
        </w:tc>
      </w:tr>
    </w:tbl>
    <w:bookmarkEnd w:id="5"/>
    <w:p w:rsidR="001C0E40" w:rsidRPr="00244930" w:rsidRDefault="00D362BF" w:rsidP="00C1069B">
      <w:r w:rsidRPr="00244930">
        <w:t>1.6</w:t>
      </w:r>
      <w:r w:rsidRPr="00244930">
        <w:tab/>
        <w:t>considerar posibles atribuciones adicionales a título primario:</w:t>
      </w:r>
    </w:p>
    <w:p w:rsidR="00EE53EE" w:rsidRPr="00244930" w:rsidRDefault="00EE53EE" w:rsidP="00C1069B">
      <w:pPr>
        <w:rPr>
          <w:bCs/>
        </w:rPr>
      </w:pPr>
      <w:r w:rsidRPr="00244930">
        <w:rPr>
          <w:bCs/>
        </w:rPr>
        <w:t>1.6.1</w:t>
      </w:r>
      <w:r w:rsidRPr="00244930">
        <w:rPr>
          <w:bCs/>
        </w:rPr>
        <w:tab/>
        <w:t>al servicio fijo por satélite (Tierra-espacio y espacio-Tierra) de 250 MHz en la gama entre 10 GHz y 17 GHz en la Región 1;</w:t>
      </w:r>
    </w:p>
    <w:p w:rsidR="00EE53EE" w:rsidRPr="00244930" w:rsidRDefault="00EE53EE" w:rsidP="00C1069B">
      <w:r w:rsidRPr="00244930">
        <w:rPr>
          <w:bCs/>
        </w:rPr>
        <w:t>1.6.2</w:t>
      </w:r>
      <w:r w:rsidRPr="00244930">
        <w:rPr>
          <w:bCs/>
        </w:rPr>
        <w:tab/>
        <w:t>al servicio fijo por satélite (Tierra-espacio) de 250 MHz en la Región 2 y 300 MHz en la Región 3 en la gama 13-17 GHz;</w:t>
      </w:r>
    </w:p>
    <w:p w:rsidR="006D7258" w:rsidRPr="00244930" w:rsidRDefault="00D362BF">
      <w:pPr>
        <w:rPr>
          <w:szCs w:val="24"/>
        </w:rPr>
      </w:pPr>
      <w:proofErr w:type="gramStart"/>
      <w:r w:rsidRPr="00244930">
        <w:rPr>
          <w:bCs/>
          <w:szCs w:val="24"/>
        </w:rPr>
        <w:t>y</w:t>
      </w:r>
      <w:proofErr w:type="gramEnd"/>
      <w:r w:rsidRPr="00244930">
        <w:rPr>
          <w:bCs/>
          <w:szCs w:val="24"/>
        </w:rPr>
        <w:t xml:space="preserve"> revisar las disposiciones reglamentarias relativas a las atribuciones actuales al servicio fijo por satélite en cada gama, teniendo en cuenta los resultados de los estudios del </w:t>
      </w:r>
      <w:proofErr w:type="spellStart"/>
      <w:r w:rsidRPr="00244930">
        <w:rPr>
          <w:bCs/>
          <w:szCs w:val="24"/>
        </w:rPr>
        <w:t>UIT</w:t>
      </w:r>
      <w:proofErr w:type="spellEnd"/>
      <w:r w:rsidRPr="00244930">
        <w:rPr>
          <w:bCs/>
          <w:szCs w:val="24"/>
        </w:rPr>
        <w:t xml:space="preserve">-R, conforme a las Resoluciones </w:t>
      </w:r>
      <w:r w:rsidRPr="00244930">
        <w:rPr>
          <w:b/>
          <w:szCs w:val="24"/>
        </w:rPr>
        <w:t>151 (</w:t>
      </w:r>
      <w:proofErr w:type="spellStart"/>
      <w:r w:rsidRPr="00244930">
        <w:rPr>
          <w:b/>
          <w:szCs w:val="24"/>
        </w:rPr>
        <w:t>CMR</w:t>
      </w:r>
      <w:proofErr w:type="spellEnd"/>
      <w:r w:rsidRPr="00244930">
        <w:rPr>
          <w:b/>
          <w:szCs w:val="24"/>
        </w:rPr>
        <w:t>-12)</w:t>
      </w:r>
      <w:r w:rsidRPr="00244930">
        <w:rPr>
          <w:bCs/>
          <w:szCs w:val="24"/>
        </w:rPr>
        <w:t xml:space="preserve"> y </w:t>
      </w:r>
      <w:r w:rsidRPr="00244930">
        <w:rPr>
          <w:b/>
          <w:szCs w:val="24"/>
        </w:rPr>
        <w:t>152 (</w:t>
      </w:r>
      <w:proofErr w:type="spellStart"/>
      <w:r w:rsidRPr="00244930">
        <w:rPr>
          <w:b/>
          <w:szCs w:val="24"/>
        </w:rPr>
        <w:t>CMR</w:t>
      </w:r>
      <w:proofErr w:type="spellEnd"/>
      <w:r w:rsidRPr="00244930">
        <w:rPr>
          <w:b/>
          <w:szCs w:val="24"/>
        </w:rPr>
        <w:t xml:space="preserve">-12) </w:t>
      </w:r>
      <w:r w:rsidRPr="00244930">
        <w:rPr>
          <w:bCs/>
          <w:szCs w:val="24"/>
        </w:rPr>
        <w:t>respectivamente;</w:t>
      </w:r>
    </w:p>
    <w:p w:rsidR="00363A65" w:rsidRPr="00244930" w:rsidRDefault="006E1D22" w:rsidP="00244930">
      <w:pPr>
        <w:spacing w:before="240"/>
      </w:pPr>
      <w:r w:rsidRPr="00244930">
        <w:t xml:space="preserve">Las propuestas comunes de la </w:t>
      </w:r>
      <w:proofErr w:type="spellStart"/>
      <w:r w:rsidRPr="00244930">
        <w:t>APT</w:t>
      </w:r>
      <w:proofErr w:type="spellEnd"/>
      <w:r w:rsidRPr="00244930">
        <w:t xml:space="preserve"> (</w:t>
      </w:r>
      <w:proofErr w:type="spellStart"/>
      <w:r w:rsidRPr="00244930">
        <w:t>ACP</w:t>
      </w:r>
      <w:proofErr w:type="spellEnd"/>
      <w:r w:rsidRPr="00244930">
        <w:t xml:space="preserve">) para el punto 1.6 del orden del día pueden consultarse en los siguientes </w:t>
      </w:r>
      <w:proofErr w:type="spellStart"/>
      <w:r w:rsidRPr="00244930">
        <w:t>Addenda</w:t>
      </w:r>
      <w:proofErr w:type="spellEnd"/>
      <w:r w:rsidRPr="00244930">
        <w:t xml:space="preserve"> al presente documento con arreglo a la lista </w:t>
      </w:r>
      <w:r w:rsidR="00244930">
        <w:t>d</w:t>
      </w:r>
      <w:r w:rsidRPr="00244930">
        <w:t>el siguiente cuadro:</w:t>
      </w:r>
    </w:p>
    <w:p w:rsidR="00EE53EE" w:rsidRPr="00244930" w:rsidRDefault="00EE53EE" w:rsidP="0024493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EE53EE" w:rsidRPr="00244930" w:rsidTr="00BE25D5">
        <w:tc>
          <w:tcPr>
            <w:tcW w:w="1255" w:type="dxa"/>
          </w:tcPr>
          <w:p w:rsidR="00EE53EE" w:rsidRPr="00244930" w:rsidRDefault="00EE53EE" w:rsidP="00244930">
            <w:pPr>
              <w:pStyle w:val="Tabletitle"/>
            </w:pPr>
            <w:proofErr w:type="spellStart"/>
            <w:r w:rsidRPr="00244930">
              <w:t>Sub</w:t>
            </w:r>
            <w:r w:rsidR="006E1D22" w:rsidRPr="00244930">
              <w:t>punto</w:t>
            </w:r>
            <w:proofErr w:type="spellEnd"/>
            <w:r w:rsidR="006E1D22" w:rsidRPr="00244930">
              <w:t xml:space="preserve"> del orden del día</w:t>
            </w:r>
          </w:p>
        </w:tc>
        <w:tc>
          <w:tcPr>
            <w:tcW w:w="5040" w:type="dxa"/>
          </w:tcPr>
          <w:p w:rsidR="00EE53EE" w:rsidRPr="00244930" w:rsidRDefault="006E1D22" w:rsidP="00BE25D5">
            <w:pPr>
              <w:pStyle w:val="Tabletitle"/>
            </w:pPr>
            <w:r w:rsidRPr="00244930">
              <w:t>Título</w:t>
            </w:r>
          </w:p>
        </w:tc>
        <w:tc>
          <w:tcPr>
            <w:tcW w:w="1530" w:type="dxa"/>
          </w:tcPr>
          <w:p w:rsidR="00EE53EE" w:rsidRPr="00244930" w:rsidRDefault="00EE53EE" w:rsidP="006E1D22">
            <w:pPr>
              <w:pStyle w:val="Tabletitle"/>
            </w:pPr>
            <w:proofErr w:type="spellStart"/>
            <w:r w:rsidRPr="00244930">
              <w:t>Add</w:t>
            </w:r>
            <w:r w:rsidR="006E1D22" w:rsidRPr="00244930">
              <w:t>é</w:t>
            </w:r>
            <w:r w:rsidRPr="00244930">
              <w:t>ndum</w:t>
            </w:r>
            <w:proofErr w:type="spellEnd"/>
            <w:r w:rsidRPr="00244930">
              <w:t xml:space="preserve"> N</w:t>
            </w:r>
            <w:r w:rsidR="006E1D22" w:rsidRPr="00244930">
              <w:t>º</w:t>
            </w:r>
          </w:p>
        </w:tc>
        <w:tc>
          <w:tcPr>
            <w:tcW w:w="1804" w:type="dxa"/>
          </w:tcPr>
          <w:p w:rsidR="00EE53EE" w:rsidRPr="00244930" w:rsidRDefault="00EE53EE" w:rsidP="006E1D22">
            <w:pPr>
              <w:pStyle w:val="Tabletitle"/>
            </w:pPr>
            <w:proofErr w:type="spellStart"/>
            <w:r w:rsidRPr="00244930">
              <w:t>ACP</w:t>
            </w:r>
            <w:proofErr w:type="spellEnd"/>
            <w:r w:rsidRPr="00244930">
              <w:t xml:space="preserve"> N</w:t>
            </w:r>
            <w:r w:rsidR="006E1D22" w:rsidRPr="00244930">
              <w:t>º</w:t>
            </w:r>
          </w:p>
        </w:tc>
      </w:tr>
      <w:tr w:rsidR="00EE53EE" w:rsidRPr="00244930" w:rsidTr="00BE25D5">
        <w:tc>
          <w:tcPr>
            <w:tcW w:w="1255" w:type="dxa"/>
          </w:tcPr>
          <w:p w:rsidR="00EE53EE" w:rsidRPr="00244930" w:rsidRDefault="00EE53EE" w:rsidP="00BE25D5">
            <w:pPr>
              <w:pStyle w:val="Tabletext"/>
            </w:pPr>
            <w:r w:rsidRPr="00244930">
              <w:t>1.6.1</w:t>
            </w:r>
          </w:p>
        </w:tc>
        <w:tc>
          <w:tcPr>
            <w:tcW w:w="5040" w:type="dxa"/>
          </w:tcPr>
          <w:p w:rsidR="00EE53EE" w:rsidRPr="00244930" w:rsidRDefault="00D362BF" w:rsidP="00BE25D5">
            <w:pPr>
              <w:pStyle w:val="Tabletext"/>
            </w:pPr>
            <w:r w:rsidRPr="00244930">
              <w:t>al servicio fijo por satélite (Tierra-espacio y espacio-Tierra) de 250 MHz en la gama entre 10 GHz y 17 GHz en la Región 1</w:t>
            </w:r>
            <w:r w:rsidR="00EE53EE" w:rsidRPr="00244930">
              <w:t>;</w:t>
            </w:r>
          </w:p>
        </w:tc>
        <w:tc>
          <w:tcPr>
            <w:tcW w:w="1530" w:type="dxa"/>
          </w:tcPr>
          <w:p w:rsidR="00EE53EE" w:rsidRPr="00244930" w:rsidRDefault="00EE53EE" w:rsidP="00BE25D5">
            <w:pPr>
              <w:pStyle w:val="Tabletext"/>
            </w:pPr>
            <w:proofErr w:type="spellStart"/>
            <w:r w:rsidRPr="00244930">
              <w:t>A6-A1</w:t>
            </w:r>
            <w:proofErr w:type="spellEnd"/>
          </w:p>
        </w:tc>
        <w:tc>
          <w:tcPr>
            <w:tcW w:w="1804" w:type="dxa"/>
          </w:tcPr>
          <w:p w:rsidR="00EE53EE" w:rsidRPr="00244930" w:rsidRDefault="006E1D22" w:rsidP="006E1D22">
            <w:pPr>
              <w:pStyle w:val="Tabletext"/>
            </w:pPr>
            <w:proofErr w:type="spellStart"/>
            <w:r w:rsidRPr="00244930">
              <w:t>A6-A1</w:t>
            </w:r>
            <w:proofErr w:type="spellEnd"/>
            <w:r w:rsidRPr="00244930">
              <w:t>/1 a</w:t>
            </w:r>
            <w:r w:rsidR="00EE53EE" w:rsidRPr="00244930">
              <w:t xml:space="preserve"> 18</w:t>
            </w:r>
          </w:p>
        </w:tc>
      </w:tr>
      <w:tr w:rsidR="00EE53EE" w:rsidRPr="00244930" w:rsidTr="00BE25D5">
        <w:tc>
          <w:tcPr>
            <w:tcW w:w="1255" w:type="dxa"/>
          </w:tcPr>
          <w:p w:rsidR="00EE53EE" w:rsidRPr="00244930" w:rsidRDefault="00EE53EE" w:rsidP="00BE25D5">
            <w:pPr>
              <w:pStyle w:val="Tabletext"/>
            </w:pPr>
            <w:r w:rsidRPr="00244930">
              <w:t>1.6.2</w:t>
            </w:r>
          </w:p>
        </w:tc>
        <w:tc>
          <w:tcPr>
            <w:tcW w:w="5040" w:type="dxa"/>
          </w:tcPr>
          <w:p w:rsidR="00EE53EE" w:rsidRPr="00244930" w:rsidRDefault="00D362BF" w:rsidP="00BE25D5">
            <w:pPr>
              <w:pStyle w:val="Tabletext"/>
            </w:pPr>
            <w:r w:rsidRPr="00244930">
              <w:t>al servicio fijo por satélite (Tierra-espacio) de 250 MHz en la Región 2 y 300 MHz en la Región 3 en la gama 13-17 GHz</w:t>
            </w:r>
            <w:r w:rsidR="00EE53EE" w:rsidRPr="00244930">
              <w:t>;</w:t>
            </w:r>
          </w:p>
        </w:tc>
        <w:tc>
          <w:tcPr>
            <w:tcW w:w="1530" w:type="dxa"/>
          </w:tcPr>
          <w:p w:rsidR="00EE53EE" w:rsidRPr="00244930" w:rsidRDefault="00EE53EE" w:rsidP="00BE25D5">
            <w:pPr>
              <w:pStyle w:val="Tabletext"/>
            </w:pPr>
            <w:proofErr w:type="spellStart"/>
            <w:r w:rsidRPr="00244930">
              <w:t>A6-A2</w:t>
            </w:r>
            <w:proofErr w:type="spellEnd"/>
          </w:p>
        </w:tc>
        <w:tc>
          <w:tcPr>
            <w:tcW w:w="1804" w:type="dxa"/>
          </w:tcPr>
          <w:p w:rsidR="00EE53EE" w:rsidRPr="00244930" w:rsidRDefault="00EE53EE" w:rsidP="006E1D22">
            <w:pPr>
              <w:pStyle w:val="Tabletext"/>
            </w:pPr>
            <w:proofErr w:type="spellStart"/>
            <w:r w:rsidRPr="00244930">
              <w:t>A6-A2</w:t>
            </w:r>
            <w:proofErr w:type="spellEnd"/>
            <w:r w:rsidRPr="00244930">
              <w:t xml:space="preserve">/1 </w:t>
            </w:r>
            <w:r w:rsidR="006E1D22" w:rsidRPr="00244930">
              <w:t>a</w:t>
            </w:r>
            <w:r w:rsidRPr="00244930">
              <w:t xml:space="preserve"> 4</w:t>
            </w:r>
          </w:p>
        </w:tc>
      </w:tr>
    </w:tbl>
    <w:p w:rsidR="00EE53EE" w:rsidRPr="00244930" w:rsidRDefault="00EE53EE" w:rsidP="0032202E">
      <w:pPr>
        <w:pStyle w:val="Reasons"/>
      </w:pPr>
      <w:bookmarkStart w:id="6" w:name="_GoBack"/>
      <w:bookmarkEnd w:id="6"/>
    </w:p>
    <w:p w:rsidR="00EE53EE" w:rsidRPr="00244930" w:rsidRDefault="00EE53EE">
      <w:pPr>
        <w:jc w:val="center"/>
      </w:pPr>
      <w:r w:rsidRPr="00244930">
        <w:t>______________</w:t>
      </w:r>
    </w:p>
    <w:sectPr w:rsidR="00EE53EE" w:rsidRPr="0024493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244930" w:rsidRDefault="0077084A">
    <w:pPr>
      <w:ind w:right="360"/>
    </w:pPr>
    <w:r>
      <w:fldChar w:fldCharType="begin"/>
    </w:r>
    <w:r w:rsidRPr="00244930">
      <w:instrText xml:space="preserve"> FILENAME \p  \* MERGEFORMAT </w:instrText>
    </w:r>
    <w:r>
      <w:fldChar w:fldCharType="separate"/>
    </w:r>
    <w:r w:rsidR="00244930">
      <w:rPr>
        <w:noProof/>
      </w:rPr>
      <w:t>P:\ESP\ITU-R\CONF-R\CMR15\000\032ADD06S.docx</w:t>
    </w:r>
    <w:r>
      <w:fldChar w:fldCharType="end"/>
    </w:r>
    <w:r w:rsidRPr="00244930">
      <w:tab/>
    </w:r>
    <w:r>
      <w:fldChar w:fldCharType="begin"/>
    </w:r>
    <w:r>
      <w:instrText xml:space="preserve"> SAVEDATE \@ DD.MM.YY </w:instrText>
    </w:r>
    <w:r>
      <w:fldChar w:fldCharType="separate"/>
    </w:r>
    <w:r w:rsidR="00244930">
      <w:rPr>
        <w:noProof/>
      </w:rPr>
      <w:t>06.10.15</w:t>
    </w:r>
    <w:r>
      <w:fldChar w:fldCharType="end"/>
    </w:r>
    <w:r w:rsidRPr="00244930">
      <w:tab/>
    </w:r>
    <w:r>
      <w:fldChar w:fldCharType="begin"/>
    </w:r>
    <w:r>
      <w:instrText xml:space="preserve"> PRINTDATE \@ DD.MM.YY </w:instrText>
    </w:r>
    <w:r>
      <w:fldChar w:fldCharType="separate"/>
    </w:r>
    <w:r w:rsidR="00244930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5B5" w:rsidRDefault="00AB65B5" w:rsidP="00AB65B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44930">
      <w:rPr>
        <w:lang w:val="en-US"/>
      </w:rPr>
      <w:t>P:\ESP\ITU-R\CONF-R\CMR15\000\032ADD06S.docx</w:t>
    </w:r>
    <w:r>
      <w:fldChar w:fldCharType="end"/>
    </w:r>
    <w:r w:rsidRPr="00AB65B5">
      <w:rPr>
        <w:lang w:val="en-US"/>
      </w:rPr>
      <w:t xml:space="preserve"> (387299)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4930"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4930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22" w:rsidRDefault="0024493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P:\ESP\ITU-R\CONF-R\CMR15\000\032ADD06S.docx</w:t>
    </w:r>
    <w:r>
      <w:fldChar w:fldCharType="end"/>
    </w:r>
    <w:r w:rsidR="006E1D22">
      <w:t xml:space="preserve"> (387299)</w:t>
    </w:r>
    <w:r w:rsidR="006E1D22">
      <w:tab/>
    </w:r>
    <w:r w:rsidR="006E1D22">
      <w:fldChar w:fldCharType="begin"/>
    </w:r>
    <w:r w:rsidR="006E1D22">
      <w:instrText xml:space="preserve"> SAVEDATE \@ DD.MM.YY </w:instrText>
    </w:r>
    <w:r w:rsidR="006E1D22">
      <w:fldChar w:fldCharType="separate"/>
    </w:r>
    <w:r>
      <w:t>06.10.15</w:t>
    </w:r>
    <w:r w:rsidR="006E1D22">
      <w:fldChar w:fldCharType="end"/>
    </w:r>
    <w:r w:rsidR="006E1D22">
      <w:tab/>
    </w:r>
    <w:r w:rsidR="006E1D22">
      <w:fldChar w:fldCharType="begin"/>
    </w:r>
    <w:r w:rsidR="006E1D22">
      <w:instrText xml:space="preserve"> PRINTDATE \@ DD.MM.YY </w:instrText>
    </w:r>
    <w:r w:rsidR="006E1D22">
      <w:fldChar w:fldCharType="separate"/>
    </w:r>
    <w:r>
      <w:t>06.10.15</w:t>
    </w:r>
    <w:r w:rsidR="006E1D2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1D22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proofErr w:type="spellStart"/>
    <w:r>
      <w:rPr>
        <w:lang w:val="en-US"/>
      </w:rPr>
      <w:t>CMR1</w:t>
    </w:r>
    <w:r w:rsidR="00E54754">
      <w:rPr>
        <w:lang w:val="en-US"/>
      </w:rPr>
      <w:t>5</w:t>
    </w:r>
    <w:proofErr w:type="spellEnd"/>
    <w:r>
      <w:rPr>
        <w:lang w:val="en-US"/>
      </w:rPr>
      <w:t>/</w:t>
    </w:r>
    <w:r w:rsidR="00702F3D">
      <w:t>32(</w:t>
    </w:r>
    <w:proofErr w:type="spellStart"/>
    <w:r w:rsidR="00702F3D">
      <w:t>Add.6</w:t>
    </w:r>
    <w:proofErr w:type="spellEnd"/>
    <w:r w:rsidR="00702F3D">
      <w:t>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463E1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44930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6E1D22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B65B5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362BF"/>
    <w:rsid w:val="00D72A5D"/>
    <w:rsid w:val="00D91676"/>
    <w:rsid w:val="00DC629B"/>
    <w:rsid w:val="00E05BFF"/>
    <w:rsid w:val="00E10826"/>
    <w:rsid w:val="00E262F1"/>
    <w:rsid w:val="00E3176A"/>
    <w:rsid w:val="00E54754"/>
    <w:rsid w:val="00E56BD3"/>
    <w:rsid w:val="00E71D14"/>
    <w:rsid w:val="00EE53EE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362D61C8-005B-439A-A052-A4FDB752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table" w:styleId="TableGrid">
    <w:name w:val="Table Grid"/>
    <w:basedOn w:val="TableNormal"/>
    <w:rsid w:val="00EE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R15-WRC15-C-0032!A6!MSW-S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4F607-1E66-45FE-B563-94CC00691A77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996b2e75-67fd-4955-a3b0-5ab9934cb50b"/>
    <ds:schemaRef ds:uri="http://schemas.openxmlformats.org/package/2006/metadata/core-properties"/>
    <ds:schemaRef ds:uri="http://purl.org/dc/terms/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A8E84E-F2A1-4E9D-AE88-B79DA3AF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1253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R15-WRC15-C-0032!A6!MSW-S</vt:lpstr>
    </vt:vector>
  </TitlesOfParts>
  <Manager>Secretaría General - Pool</Manager>
  <Company>Unión Internacional de Telecomunicaciones (UIT)</Company>
  <LinksUpToDate>false</LinksUpToDate>
  <CharactersWithSpaces>1483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R15-WRC15-C-0032!A6!MSW-S</dc:title>
  <dc:subject>Conferencia Mundial de Radiocomunicaciones - 2015</dc:subject>
  <dc:creator>Documents Proposals Manager (DPM)</dc:creator>
  <cp:keywords>DPM_v5.2015.9.16_prod</cp:keywords>
  <dc:description/>
  <cp:lastModifiedBy>Mendoza Siles, Sidma Jeanneth</cp:lastModifiedBy>
  <cp:revision>4</cp:revision>
  <cp:lastPrinted>2015-10-06T13:07:00Z</cp:lastPrinted>
  <dcterms:created xsi:type="dcterms:W3CDTF">2015-10-06T12:48:00Z</dcterms:created>
  <dcterms:modified xsi:type="dcterms:W3CDTF">2015-10-06T13:10:00Z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