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474D7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474D7D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474D7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474D7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474D7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474D7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474D7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474D7D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9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474D7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474D7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474D7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474D7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474D7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420EC" w:rsidRDefault="00690C7B" w:rsidP="00474D7D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1420EC">
              <w:rPr>
                <w:lang w:val="fr-CH"/>
              </w:rPr>
              <w:t>Propositions communes de la</w:t>
            </w:r>
            <w:bookmarkStart w:id="3" w:name="_GoBack"/>
            <w:bookmarkEnd w:id="3"/>
            <w:r w:rsidRPr="001420EC">
              <w:rPr>
                <w:lang w:val="fr-CH"/>
              </w:rPr>
              <w:t xml:space="preserve"> Télécommunauté Asie-Pacifique</w:t>
            </w:r>
          </w:p>
        </w:tc>
      </w:tr>
      <w:tr w:rsidR="00690C7B" w:rsidRPr="001420EC" w:rsidTr="0050008E">
        <w:trPr>
          <w:cantSplit/>
        </w:trPr>
        <w:tc>
          <w:tcPr>
            <w:tcW w:w="10031" w:type="dxa"/>
            <w:gridSpan w:val="2"/>
          </w:tcPr>
          <w:p w:rsidR="00690C7B" w:rsidRPr="001420EC" w:rsidRDefault="001420EC" w:rsidP="00474D7D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1420EC">
              <w:rPr>
                <w:lang w:val="fr-CH"/>
              </w:rPr>
              <w:t>PROPOSITIONS POUR LES TRAVAUX DE LA CONFERENCE</w:t>
            </w:r>
          </w:p>
        </w:tc>
      </w:tr>
      <w:tr w:rsidR="001420EC" w:rsidRPr="001420EC" w:rsidTr="0050008E">
        <w:trPr>
          <w:cantSplit/>
        </w:trPr>
        <w:tc>
          <w:tcPr>
            <w:tcW w:w="10031" w:type="dxa"/>
            <w:gridSpan w:val="2"/>
          </w:tcPr>
          <w:p w:rsidR="001420EC" w:rsidRPr="001420EC" w:rsidRDefault="001420EC" w:rsidP="00474D7D">
            <w:pPr>
              <w:pStyle w:val="Title1"/>
              <w:rPr>
                <w:lang w:val="fr-CH"/>
              </w:rPr>
            </w:pPr>
          </w:p>
        </w:tc>
      </w:tr>
      <w:tr w:rsidR="00690C7B" w:rsidRPr="001420EC" w:rsidTr="0050008E">
        <w:trPr>
          <w:cantSplit/>
        </w:trPr>
        <w:tc>
          <w:tcPr>
            <w:tcW w:w="10031" w:type="dxa"/>
            <w:gridSpan w:val="2"/>
          </w:tcPr>
          <w:p w:rsidR="00690C7B" w:rsidRPr="001420EC" w:rsidRDefault="00690C7B" w:rsidP="00474D7D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474D7D">
            <w:pPr>
              <w:pStyle w:val="Agendaitem"/>
            </w:pPr>
            <w:bookmarkStart w:id="6" w:name="dtitle3" w:colFirst="0" w:colLast="0"/>
            <w:bookmarkEnd w:id="5"/>
            <w:r w:rsidRPr="006D4724">
              <w:t>Point 1.9 de l'ordre du jour</w:t>
            </w:r>
          </w:p>
        </w:tc>
      </w:tr>
    </w:tbl>
    <w:bookmarkEnd w:id="6"/>
    <w:p w:rsidR="001C0E40" w:rsidRPr="00346C84" w:rsidRDefault="00A401BB" w:rsidP="00474D7D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420EC" w:rsidRPr="007B55A9" w:rsidRDefault="001420EC" w:rsidP="00474D7D">
      <w:pPr>
        <w:rPr>
          <w:lang w:val="fr-CH"/>
        </w:rPr>
      </w:pPr>
      <w:r w:rsidRPr="007B55A9">
        <w:rPr>
          <w:bCs/>
          <w:szCs w:val="24"/>
          <w:lang w:val="fr-CH"/>
        </w:rPr>
        <w:t>1.9.1</w:t>
      </w:r>
      <w:r w:rsidRPr="007B55A9">
        <w:rPr>
          <w:bCs/>
          <w:szCs w:val="24"/>
          <w:lang w:val="fr-CH"/>
        </w:rPr>
        <w:tab/>
      </w:r>
      <w:r w:rsidRPr="007B55A9">
        <w:rPr>
          <w:lang w:val="fr-CH"/>
        </w:rPr>
        <w:t>la possibilité de faire de nouvelles attributions au service fixe par satellite dans les bandes de fréquences 7 150-7 250 MHz (espace vers Terre) et 8 400-8 500 MHz (Terre vers espace), à condition de prévoir des conditions de partage appropriées;</w:t>
      </w:r>
    </w:p>
    <w:p w:rsidR="001420EC" w:rsidRPr="007B55A9" w:rsidRDefault="001420EC" w:rsidP="00474D7D">
      <w:pPr>
        <w:rPr>
          <w:lang w:val="fr-CH"/>
        </w:rPr>
      </w:pPr>
      <w:r w:rsidRPr="007B55A9">
        <w:rPr>
          <w:lang w:val="fr-CH"/>
        </w:rPr>
        <w:t>1.9.2</w:t>
      </w:r>
      <w:r w:rsidRPr="007B55A9">
        <w:rPr>
          <w:lang w:val="fr-CH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1420EC" w:rsidRDefault="001420EC" w:rsidP="00D96215">
      <w:pPr>
        <w:spacing w:after="240"/>
        <w:rPr>
          <w:lang w:val="fr-CH"/>
        </w:rPr>
      </w:pPr>
      <w:r>
        <w:rPr>
          <w:lang w:val="fr-CH"/>
        </w:rPr>
        <w:t>Les propositions communes de l</w:t>
      </w:r>
      <w:r w:rsidR="001D0A65">
        <w:rPr>
          <w:lang w:val="fr-CH"/>
        </w:rPr>
        <w:t>'</w:t>
      </w:r>
      <w:r>
        <w:rPr>
          <w:lang w:val="fr-CH"/>
        </w:rPr>
        <w:t>APT pour le point 1.9 de l</w:t>
      </w:r>
      <w:r w:rsidR="001D0A65">
        <w:rPr>
          <w:lang w:val="fr-CH"/>
        </w:rPr>
        <w:t>'</w:t>
      </w:r>
      <w:r>
        <w:rPr>
          <w:lang w:val="fr-CH"/>
        </w:rPr>
        <w:t xml:space="preserve">ordre du jour sont présentées dans les addenda </w:t>
      </w:r>
      <w:r w:rsidR="0057268D">
        <w:rPr>
          <w:lang w:val="fr-CH"/>
        </w:rPr>
        <w:t xml:space="preserve">suivants </w:t>
      </w:r>
      <w:r>
        <w:rPr>
          <w:lang w:val="fr-CH"/>
        </w:rPr>
        <w:t>au présent document</w:t>
      </w:r>
      <w:r w:rsidR="0057268D">
        <w:rPr>
          <w:lang w:val="fr-CH"/>
        </w:rPr>
        <w:t>, comme indiqué</w:t>
      </w:r>
      <w:r>
        <w:rPr>
          <w:lang w:val="fr-CH"/>
        </w:rPr>
        <w:t xml:space="preserve"> dans le tableau ci-dessous: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701"/>
        <w:gridCol w:w="1554"/>
      </w:tblGrid>
      <w:tr w:rsidR="001420EC" w:rsidRPr="00421F8A" w:rsidTr="00421F8A">
        <w:trPr>
          <w:trHeight w:val="768"/>
        </w:trPr>
        <w:tc>
          <w:tcPr>
            <w:tcW w:w="1555" w:type="dxa"/>
          </w:tcPr>
          <w:p w:rsidR="001420EC" w:rsidRPr="00421F8A" w:rsidRDefault="001420EC" w:rsidP="00474D7D">
            <w:pPr>
              <w:pStyle w:val="Tablehead"/>
              <w:rPr>
                <w:lang w:val="fr-CH"/>
              </w:rPr>
            </w:pPr>
            <w:r w:rsidRPr="00421F8A">
              <w:rPr>
                <w:lang w:val="fr-CH"/>
              </w:rPr>
              <w:t>Sous-point de l</w:t>
            </w:r>
            <w:r w:rsidR="001D0A65">
              <w:rPr>
                <w:lang w:val="fr-CH"/>
              </w:rPr>
              <w:t>'</w:t>
            </w:r>
            <w:r w:rsidRPr="00421F8A">
              <w:rPr>
                <w:lang w:val="fr-CH"/>
              </w:rPr>
              <w:t>ordre du jour</w:t>
            </w:r>
          </w:p>
        </w:tc>
        <w:tc>
          <w:tcPr>
            <w:tcW w:w="4819" w:type="dxa"/>
          </w:tcPr>
          <w:p w:rsidR="001420EC" w:rsidRPr="00421F8A" w:rsidRDefault="001420EC" w:rsidP="00474D7D">
            <w:pPr>
              <w:pStyle w:val="Tablehead"/>
              <w:rPr>
                <w:lang w:val="fr-CH"/>
              </w:rPr>
            </w:pPr>
            <w:r w:rsidRPr="00421F8A">
              <w:rPr>
                <w:lang w:val="fr-CH"/>
              </w:rPr>
              <w:t>Titre</w:t>
            </w:r>
          </w:p>
        </w:tc>
        <w:tc>
          <w:tcPr>
            <w:tcW w:w="1701" w:type="dxa"/>
          </w:tcPr>
          <w:p w:rsidR="001420EC" w:rsidRPr="00421F8A" w:rsidRDefault="001420EC" w:rsidP="00474D7D">
            <w:pPr>
              <w:pStyle w:val="Tablehead"/>
              <w:rPr>
                <w:lang w:val="fr-CH"/>
              </w:rPr>
            </w:pPr>
            <w:r w:rsidRPr="00421F8A">
              <w:rPr>
                <w:color w:val="000000"/>
              </w:rPr>
              <w:t>Addendum N°</w:t>
            </w:r>
          </w:p>
        </w:tc>
        <w:tc>
          <w:tcPr>
            <w:tcW w:w="1554" w:type="dxa"/>
          </w:tcPr>
          <w:p w:rsidR="001420EC" w:rsidRPr="00421F8A" w:rsidRDefault="001420EC" w:rsidP="00474D7D">
            <w:pPr>
              <w:pStyle w:val="Tablehead"/>
              <w:rPr>
                <w:lang w:val="fr-CH"/>
              </w:rPr>
            </w:pPr>
            <w:r w:rsidRPr="00421F8A">
              <w:rPr>
                <w:color w:val="000000"/>
              </w:rPr>
              <w:t>ACP N°</w:t>
            </w:r>
          </w:p>
        </w:tc>
      </w:tr>
      <w:tr w:rsidR="001420EC" w:rsidTr="00421F8A">
        <w:tc>
          <w:tcPr>
            <w:tcW w:w="1555" w:type="dxa"/>
          </w:tcPr>
          <w:p w:rsidR="001420EC" w:rsidRDefault="001420EC" w:rsidP="00474D7D">
            <w:pPr>
              <w:pStyle w:val="Tabletext"/>
              <w:jc w:val="center"/>
              <w:rPr>
                <w:lang w:val="fr-CH"/>
              </w:rPr>
            </w:pPr>
            <w:r w:rsidRPr="007B55A9">
              <w:rPr>
                <w:lang w:val="fr-CH"/>
              </w:rPr>
              <w:t>1.9.1</w:t>
            </w:r>
          </w:p>
        </w:tc>
        <w:tc>
          <w:tcPr>
            <w:tcW w:w="4819" w:type="dxa"/>
          </w:tcPr>
          <w:p w:rsidR="001420EC" w:rsidRDefault="001420EC" w:rsidP="00474D7D">
            <w:pPr>
              <w:pStyle w:val="Tabletext"/>
              <w:rPr>
                <w:lang w:val="fr-CH"/>
              </w:rPr>
            </w:pPr>
            <w:r w:rsidRPr="007B55A9">
              <w:rPr>
                <w:lang w:val="fr-CH"/>
              </w:rPr>
              <w:t>la possibilité de faire de nouvelles attributions au service fixe par satellite dans l</w:t>
            </w:r>
            <w:r w:rsidR="00D96215">
              <w:rPr>
                <w:lang w:val="fr-CH"/>
              </w:rPr>
              <w:t>es bandes de fréquences 7 150</w:t>
            </w:r>
            <w:r w:rsidR="00D96215">
              <w:rPr>
                <w:lang w:val="fr-CH"/>
              </w:rPr>
              <w:noBreakHyphen/>
            </w:r>
            <w:r w:rsidR="00474D7D">
              <w:rPr>
                <w:lang w:val="fr-CH"/>
              </w:rPr>
              <w:t>7 </w:t>
            </w:r>
            <w:r w:rsidRPr="007B55A9">
              <w:rPr>
                <w:lang w:val="fr-CH"/>
              </w:rPr>
              <w:t>250 MHz (es</w:t>
            </w:r>
            <w:r w:rsidR="00D96215">
              <w:rPr>
                <w:lang w:val="fr-CH"/>
              </w:rPr>
              <w:t>pace vers Terre) et 8 400</w:t>
            </w:r>
            <w:r w:rsidR="00D96215">
              <w:rPr>
                <w:lang w:val="fr-CH"/>
              </w:rPr>
              <w:noBreakHyphen/>
              <w:t>8 500 </w:t>
            </w:r>
            <w:r w:rsidRPr="007B55A9">
              <w:rPr>
                <w:lang w:val="fr-CH"/>
              </w:rPr>
              <w:t>MHz (Terre vers espace), à condition de prévoir des conditions de partage appropriées</w:t>
            </w:r>
          </w:p>
        </w:tc>
        <w:tc>
          <w:tcPr>
            <w:tcW w:w="1701" w:type="dxa"/>
          </w:tcPr>
          <w:p w:rsidR="001420EC" w:rsidRDefault="001420EC" w:rsidP="00474D7D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A9-A1</w:t>
            </w:r>
          </w:p>
        </w:tc>
        <w:tc>
          <w:tcPr>
            <w:tcW w:w="1554" w:type="dxa"/>
          </w:tcPr>
          <w:p w:rsidR="001420EC" w:rsidRDefault="001420EC" w:rsidP="00474D7D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A9-A1/1 à 3</w:t>
            </w:r>
          </w:p>
        </w:tc>
      </w:tr>
      <w:tr w:rsidR="001420EC" w:rsidTr="00421F8A">
        <w:tc>
          <w:tcPr>
            <w:tcW w:w="1555" w:type="dxa"/>
          </w:tcPr>
          <w:p w:rsidR="001420EC" w:rsidRDefault="001420EC" w:rsidP="00474D7D">
            <w:pPr>
              <w:pStyle w:val="Tabletext"/>
              <w:jc w:val="center"/>
              <w:rPr>
                <w:lang w:val="fr-CH"/>
              </w:rPr>
            </w:pPr>
            <w:r w:rsidRPr="007B55A9">
              <w:rPr>
                <w:lang w:val="fr-CH"/>
              </w:rPr>
              <w:t>1.9.2</w:t>
            </w:r>
          </w:p>
        </w:tc>
        <w:tc>
          <w:tcPr>
            <w:tcW w:w="4819" w:type="dxa"/>
          </w:tcPr>
          <w:p w:rsidR="001420EC" w:rsidRDefault="001420EC" w:rsidP="00D96215">
            <w:pPr>
              <w:pStyle w:val="Tabletext"/>
              <w:rPr>
                <w:lang w:val="fr-CH"/>
              </w:rPr>
            </w:pPr>
            <w:r w:rsidRPr="007B55A9">
              <w:rPr>
                <w:lang w:val="fr-CH"/>
              </w:rPr>
              <w:t>la possibilité d'attribuer les bandes 7 375-7 750</w:t>
            </w:r>
            <w:r w:rsidR="00D96215">
              <w:rPr>
                <w:lang w:val="fr-CH"/>
              </w:rPr>
              <w:t> </w:t>
            </w:r>
            <w:r w:rsidRPr="007B55A9">
              <w:rPr>
                <w:lang w:val="fr-CH"/>
              </w:rPr>
              <w:t>MHz et 8</w:t>
            </w:r>
            <w:r w:rsidR="00474D7D">
              <w:rPr>
                <w:lang w:val="fr-CH"/>
              </w:rPr>
              <w:t> </w:t>
            </w:r>
            <w:r w:rsidR="00D96215">
              <w:rPr>
                <w:lang w:val="fr-CH"/>
              </w:rPr>
              <w:t>025-8 </w:t>
            </w:r>
            <w:r w:rsidRPr="007B55A9">
              <w:rPr>
                <w:lang w:val="fr-CH"/>
              </w:rPr>
              <w:t>400</w:t>
            </w:r>
            <w:r w:rsidR="00D96215">
              <w:rPr>
                <w:lang w:val="fr-CH"/>
              </w:rPr>
              <w:t> </w:t>
            </w:r>
            <w:r w:rsidRPr="007B55A9">
              <w:rPr>
                <w:lang w:val="fr-CH"/>
              </w:rPr>
              <w:t>MHz au service mobile maritime par satellite, et des mesures réglementaires additionnelles, en fonction des résultats des études pertinentes</w:t>
            </w:r>
          </w:p>
        </w:tc>
        <w:tc>
          <w:tcPr>
            <w:tcW w:w="1701" w:type="dxa"/>
          </w:tcPr>
          <w:p w:rsidR="001420EC" w:rsidRDefault="001420EC" w:rsidP="00474D7D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A9-A2</w:t>
            </w:r>
          </w:p>
        </w:tc>
        <w:tc>
          <w:tcPr>
            <w:tcW w:w="1554" w:type="dxa"/>
          </w:tcPr>
          <w:p w:rsidR="001420EC" w:rsidRDefault="001420EC" w:rsidP="00474D7D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A9-A2/1 et 2</w:t>
            </w:r>
          </w:p>
        </w:tc>
      </w:tr>
    </w:tbl>
    <w:p w:rsidR="00474D7D" w:rsidRDefault="00474D7D" w:rsidP="0032202E">
      <w:pPr>
        <w:pStyle w:val="Reasons"/>
      </w:pPr>
    </w:p>
    <w:p w:rsidR="00474D7D" w:rsidRDefault="00474D7D">
      <w:pPr>
        <w:jc w:val="center"/>
      </w:pPr>
      <w:r>
        <w:t>______________</w:t>
      </w:r>
    </w:p>
    <w:p w:rsidR="003A583E" w:rsidRDefault="003A583E" w:rsidP="00474D7D"/>
    <w:sectPr w:rsidR="003A583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48F4">
      <w:rPr>
        <w:noProof/>
        <w:lang w:val="en-US"/>
      </w:rPr>
      <w:t>P:\FRA\ITU-R\CONF-R\CMR15\000\032ADD09F.docx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8F4">
      <w:rPr>
        <w:noProof/>
      </w:rPr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48F4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48F4">
      <w:rPr>
        <w:lang w:val="en-US"/>
      </w:rPr>
      <w:t>P:\FRA\ITU-R\CONF-R\CMR15\000\032ADD09F.docx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8F4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48F4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48F4">
      <w:rPr>
        <w:lang w:val="en-US"/>
      </w:rPr>
      <w:t>P:\FRA\ITU-R\CONF-R\CMR15\000\032ADD09F.docx</w:t>
    </w:r>
    <w:r>
      <w:fldChar w:fldCharType="end"/>
    </w:r>
    <w:r w:rsidR="001D0A65">
      <w:t xml:space="preserve"> (387304)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8F4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48F4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74D7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32(Add.9)-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420EC"/>
    <w:rsid w:val="0015203F"/>
    <w:rsid w:val="00160C64"/>
    <w:rsid w:val="0018169B"/>
    <w:rsid w:val="0019352B"/>
    <w:rsid w:val="001960D0"/>
    <w:rsid w:val="001D0A65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21F8A"/>
    <w:rsid w:val="00466211"/>
    <w:rsid w:val="00474D7D"/>
    <w:rsid w:val="004834A9"/>
    <w:rsid w:val="004D01FC"/>
    <w:rsid w:val="004E28C3"/>
    <w:rsid w:val="004F1F8E"/>
    <w:rsid w:val="00512A32"/>
    <w:rsid w:val="0057268D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A757D"/>
    <w:rsid w:val="009C7E7C"/>
    <w:rsid w:val="009F48F4"/>
    <w:rsid w:val="00A00473"/>
    <w:rsid w:val="00A03C9B"/>
    <w:rsid w:val="00A37105"/>
    <w:rsid w:val="00A401BB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81D36"/>
    <w:rsid w:val="00D96215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628209A-05E2-49CC-B22C-68404EC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74D7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474D7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74D7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74D7D"/>
    <w:pPr>
      <w:outlineLvl w:val="3"/>
    </w:pPr>
  </w:style>
  <w:style w:type="paragraph" w:styleId="Heading5">
    <w:name w:val="heading 5"/>
    <w:basedOn w:val="Heading4"/>
    <w:next w:val="Normal"/>
    <w:qFormat/>
    <w:rsid w:val="00474D7D"/>
    <w:pPr>
      <w:outlineLvl w:val="4"/>
    </w:pPr>
  </w:style>
  <w:style w:type="paragraph" w:styleId="Heading6">
    <w:name w:val="heading 6"/>
    <w:basedOn w:val="Heading4"/>
    <w:next w:val="Normal"/>
    <w:qFormat/>
    <w:rsid w:val="00474D7D"/>
    <w:pPr>
      <w:outlineLvl w:val="5"/>
    </w:pPr>
  </w:style>
  <w:style w:type="paragraph" w:styleId="Heading7">
    <w:name w:val="heading 7"/>
    <w:basedOn w:val="Heading6"/>
    <w:next w:val="Normal"/>
    <w:qFormat/>
    <w:rsid w:val="00474D7D"/>
    <w:pPr>
      <w:outlineLvl w:val="6"/>
    </w:pPr>
  </w:style>
  <w:style w:type="paragraph" w:styleId="Heading8">
    <w:name w:val="heading 8"/>
    <w:basedOn w:val="Heading6"/>
    <w:next w:val="Normal"/>
    <w:qFormat/>
    <w:rsid w:val="00474D7D"/>
    <w:pPr>
      <w:outlineLvl w:val="7"/>
    </w:pPr>
  </w:style>
  <w:style w:type="paragraph" w:styleId="Heading9">
    <w:name w:val="heading 9"/>
    <w:basedOn w:val="Heading6"/>
    <w:next w:val="Normal"/>
    <w:qFormat/>
    <w:rsid w:val="00474D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474D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74D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74D7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474D7D"/>
  </w:style>
  <w:style w:type="paragraph" w:customStyle="1" w:styleId="Appendixref">
    <w:name w:val="Appendix_ref"/>
    <w:basedOn w:val="Annexref"/>
    <w:next w:val="Annextitle"/>
    <w:rsid w:val="00474D7D"/>
  </w:style>
  <w:style w:type="paragraph" w:customStyle="1" w:styleId="Appendixtitle">
    <w:name w:val="Appendix_title"/>
    <w:basedOn w:val="Annextitle"/>
    <w:next w:val="Normalaftertitle"/>
    <w:rsid w:val="00474D7D"/>
  </w:style>
  <w:style w:type="paragraph" w:customStyle="1" w:styleId="Artheading">
    <w:name w:val="Art_heading"/>
    <w:basedOn w:val="Normal"/>
    <w:next w:val="Normalaftertitle"/>
    <w:rsid w:val="00474D7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74D7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74D7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74D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74D7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74D7D"/>
  </w:style>
  <w:style w:type="paragraph" w:customStyle="1" w:styleId="ddate">
    <w:name w:val="ddate"/>
    <w:basedOn w:val="Normal"/>
    <w:rsid w:val="00474D7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474D7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474D7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474D7D"/>
    <w:rPr>
      <w:vertAlign w:val="superscript"/>
    </w:rPr>
  </w:style>
  <w:style w:type="paragraph" w:customStyle="1" w:styleId="enumlev1">
    <w:name w:val="enumlev1"/>
    <w:basedOn w:val="Normal"/>
    <w:rsid w:val="00474D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474D7D"/>
    <w:pPr>
      <w:ind w:left="1871" w:hanging="737"/>
    </w:pPr>
  </w:style>
  <w:style w:type="paragraph" w:customStyle="1" w:styleId="enumlev3">
    <w:name w:val="enumlev3"/>
    <w:basedOn w:val="enumlev2"/>
    <w:rsid w:val="00474D7D"/>
    <w:pPr>
      <w:ind w:left="2268" w:hanging="397"/>
    </w:pPr>
  </w:style>
  <w:style w:type="paragraph" w:customStyle="1" w:styleId="Equation">
    <w:name w:val="Equation"/>
    <w:basedOn w:val="Normal"/>
    <w:rsid w:val="00474D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474D7D"/>
    <w:pPr>
      <w:ind w:left="1134"/>
    </w:pPr>
  </w:style>
  <w:style w:type="paragraph" w:customStyle="1" w:styleId="Equationlegend">
    <w:name w:val="Equation_legend"/>
    <w:basedOn w:val="NormalIndent"/>
    <w:rsid w:val="00474D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74D7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74D7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74D7D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474D7D"/>
    <w:pPr>
      <w:keepNext w:val="0"/>
    </w:pPr>
  </w:style>
  <w:style w:type="paragraph" w:styleId="Footer">
    <w:name w:val="footer"/>
    <w:basedOn w:val="Normal"/>
    <w:rsid w:val="00474D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74D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474D7D"/>
    <w:rPr>
      <w:position w:val="6"/>
      <w:sz w:val="18"/>
    </w:rPr>
  </w:style>
  <w:style w:type="paragraph" w:styleId="FootnoteText">
    <w:name w:val="footnote text"/>
    <w:basedOn w:val="Normal"/>
    <w:rsid w:val="00474D7D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474D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74D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74D7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474D7D"/>
  </w:style>
  <w:style w:type="paragraph" w:styleId="Index2">
    <w:name w:val="index 2"/>
    <w:basedOn w:val="Normal"/>
    <w:next w:val="Normal"/>
    <w:semiHidden/>
    <w:rsid w:val="00474D7D"/>
    <w:pPr>
      <w:ind w:left="283"/>
    </w:pPr>
  </w:style>
  <w:style w:type="paragraph" w:styleId="Index3">
    <w:name w:val="index 3"/>
    <w:basedOn w:val="Normal"/>
    <w:next w:val="Normal"/>
    <w:semiHidden/>
    <w:rsid w:val="00474D7D"/>
    <w:pPr>
      <w:ind w:left="566"/>
    </w:pPr>
  </w:style>
  <w:style w:type="paragraph" w:styleId="Index4">
    <w:name w:val="index 4"/>
    <w:basedOn w:val="Normal"/>
    <w:next w:val="Normal"/>
    <w:semiHidden/>
    <w:rsid w:val="00474D7D"/>
    <w:pPr>
      <w:ind w:left="849"/>
    </w:pPr>
  </w:style>
  <w:style w:type="paragraph" w:styleId="Index5">
    <w:name w:val="index 5"/>
    <w:basedOn w:val="Normal"/>
    <w:next w:val="Normal"/>
    <w:semiHidden/>
    <w:rsid w:val="00474D7D"/>
    <w:pPr>
      <w:ind w:left="1132"/>
    </w:pPr>
  </w:style>
  <w:style w:type="paragraph" w:styleId="Index6">
    <w:name w:val="index 6"/>
    <w:basedOn w:val="Normal"/>
    <w:next w:val="Normal"/>
    <w:semiHidden/>
    <w:rsid w:val="00474D7D"/>
    <w:pPr>
      <w:ind w:left="1415"/>
    </w:pPr>
  </w:style>
  <w:style w:type="paragraph" w:styleId="Index7">
    <w:name w:val="index 7"/>
    <w:basedOn w:val="Normal"/>
    <w:next w:val="Normal"/>
    <w:semiHidden/>
    <w:rsid w:val="00474D7D"/>
    <w:pPr>
      <w:ind w:left="1698"/>
    </w:pPr>
  </w:style>
  <w:style w:type="paragraph" w:styleId="IndexHeading">
    <w:name w:val="index heading"/>
    <w:basedOn w:val="Normal"/>
    <w:next w:val="Index1"/>
    <w:semiHidden/>
    <w:rsid w:val="00474D7D"/>
  </w:style>
  <w:style w:type="character" w:styleId="LineNumber">
    <w:name w:val="line number"/>
    <w:basedOn w:val="DefaultParagraphFont"/>
    <w:rsid w:val="00474D7D"/>
  </w:style>
  <w:style w:type="paragraph" w:customStyle="1" w:styleId="Normalaftertitle">
    <w:name w:val="Normal after title"/>
    <w:basedOn w:val="Normal"/>
    <w:next w:val="Normal"/>
    <w:rsid w:val="00474D7D"/>
    <w:pPr>
      <w:spacing w:before="280"/>
    </w:pPr>
  </w:style>
  <w:style w:type="character" w:customStyle="1" w:styleId="Appdef">
    <w:name w:val="App_def"/>
    <w:rsid w:val="00474D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74D7D"/>
  </w:style>
  <w:style w:type="character" w:customStyle="1" w:styleId="Artdef">
    <w:name w:val="Art_def"/>
    <w:rsid w:val="00474D7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74D7D"/>
  </w:style>
  <w:style w:type="paragraph" w:customStyle="1" w:styleId="Border">
    <w:name w:val="Border"/>
    <w:basedOn w:val="Normal"/>
    <w:rsid w:val="00474D7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474D7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74D7D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474D7D"/>
  </w:style>
  <w:style w:type="paragraph" w:customStyle="1" w:styleId="ApptoAnnex">
    <w:name w:val="App_to_Annex"/>
    <w:basedOn w:val="AppendixNo"/>
    <w:qFormat/>
    <w:rsid w:val="00474D7D"/>
  </w:style>
  <w:style w:type="paragraph" w:customStyle="1" w:styleId="Note">
    <w:name w:val="Note"/>
    <w:basedOn w:val="Normal"/>
    <w:rsid w:val="00474D7D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474D7D"/>
  </w:style>
  <w:style w:type="paragraph" w:customStyle="1" w:styleId="Proposal">
    <w:name w:val="Proposal"/>
    <w:basedOn w:val="Normal"/>
    <w:next w:val="Normal"/>
    <w:rsid w:val="00474D7D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74D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74D7D"/>
  </w:style>
  <w:style w:type="paragraph" w:customStyle="1" w:styleId="Parttitle">
    <w:name w:val="Part_title"/>
    <w:basedOn w:val="Annextitle"/>
    <w:next w:val="Normalaftertitle"/>
    <w:rsid w:val="00474D7D"/>
  </w:style>
  <w:style w:type="paragraph" w:styleId="TOC1">
    <w:name w:val="toc 1"/>
    <w:basedOn w:val="Normal"/>
    <w:rsid w:val="00474D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474D7D"/>
    <w:pPr>
      <w:spacing w:before="120"/>
    </w:pPr>
  </w:style>
  <w:style w:type="paragraph" w:styleId="TOC3">
    <w:name w:val="toc 3"/>
    <w:basedOn w:val="TOC2"/>
    <w:rsid w:val="00474D7D"/>
  </w:style>
  <w:style w:type="paragraph" w:styleId="TOC4">
    <w:name w:val="toc 4"/>
    <w:basedOn w:val="TOC3"/>
    <w:rsid w:val="00474D7D"/>
  </w:style>
  <w:style w:type="paragraph" w:styleId="TOC5">
    <w:name w:val="toc 5"/>
    <w:basedOn w:val="TOC4"/>
    <w:rsid w:val="00474D7D"/>
  </w:style>
  <w:style w:type="paragraph" w:styleId="TOC6">
    <w:name w:val="toc 6"/>
    <w:basedOn w:val="TOC4"/>
    <w:rsid w:val="00474D7D"/>
  </w:style>
  <w:style w:type="paragraph" w:styleId="TOC7">
    <w:name w:val="toc 7"/>
    <w:basedOn w:val="TOC4"/>
    <w:rsid w:val="00474D7D"/>
  </w:style>
  <w:style w:type="paragraph" w:styleId="TOC8">
    <w:name w:val="toc 8"/>
    <w:basedOn w:val="TOC4"/>
    <w:rsid w:val="00474D7D"/>
  </w:style>
  <w:style w:type="paragraph" w:customStyle="1" w:styleId="Title1">
    <w:name w:val="Title 1"/>
    <w:basedOn w:val="Normal"/>
    <w:next w:val="Normal"/>
    <w:rsid w:val="00474D7D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474D7D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474D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74D7D"/>
    <w:rPr>
      <w:b/>
    </w:rPr>
  </w:style>
  <w:style w:type="paragraph" w:customStyle="1" w:styleId="toc0">
    <w:name w:val="toc 0"/>
    <w:basedOn w:val="Normal"/>
    <w:next w:val="TOC1"/>
    <w:rsid w:val="00474D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474D7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474D7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474D7D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74D7D"/>
  </w:style>
  <w:style w:type="paragraph" w:customStyle="1" w:styleId="QuestionNo">
    <w:name w:val="Question_No"/>
    <w:basedOn w:val="RecNo"/>
    <w:next w:val="Normal"/>
    <w:rsid w:val="00474D7D"/>
  </w:style>
  <w:style w:type="paragraph" w:customStyle="1" w:styleId="Questiontitle">
    <w:name w:val="Question_title"/>
    <w:basedOn w:val="Rectitle"/>
    <w:next w:val="Normal"/>
    <w:rsid w:val="00474D7D"/>
  </w:style>
  <w:style w:type="paragraph" w:customStyle="1" w:styleId="Reasons">
    <w:name w:val="Reasons"/>
    <w:basedOn w:val="Normal"/>
    <w:rsid w:val="00474D7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474D7D"/>
    <w:rPr>
      <w:b/>
    </w:rPr>
  </w:style>
  <w:style w:type="paragraph" w:customStyle="1" w:styleId="Reftext">
    <w:name w:val="Ref_text"/>
    <w:basedOn w:val="Normal"/>
    <w:rsid w:val="00474D7D"/>
    <w:pPr>
      <w:ind w:left="1134" w:hanging="1134"/>
    </w:pPr>
  </w:style>
  <w:style w:type="paragraph" w:customStyle="1" w:styleId="Reftitle">
    <w:name w:val="Ref_title"/>
    <w:basedOn w:val="Normal"/>
    <w:next w:val="Reftext"/>
    <w:rsid w:val="00474D7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74D7D"/>
  </w:style>
  <w:style w:type="paragraph" w:customStyle="1" w:styleId="RepNo">
    <w:name w:val="Rep_No"/>
    <w:basedOn w:val="RecNo"/>
    <w:next w:val="Normal"/>
    <w:rsid w:val="00474D7D"/>
  </w:style>
  <w:style w:type="paragraph" w:customStyle="1" w:styleId="Repref">
    <w:name w:val="Rep_ref"/>
    <w:basedOn w:val="Normal"/>
    <w:next w:val="Repdate"/>
    <w:rsid w:val="00474D7D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474D7D"/>
  </w:style>
  <w:style w:type="paragraph" w:customStyle="1" w:styleId="Resdate">
    <w:name w:val="Res_date"/>
    <w:basedOn w:val="Recdate"/>
    <w:next w:val="Normalaftertitle"/>
    <w:rsid w:val="00474D7D"/>
  </w:style>
  <w:style w:type="character" w:customStyle="1" w:styleId="Resdef">
    <w:name w:val="Res_def"/>
    <w:rsid w:val="00474D7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74D7D"/>
  </w:style>
  <w:style w:type="paragraph" w:customStyle="1" w:styleId="Restitle">
    <w:name w:val="Res_title"/>
    <w:basedOn w:val="Rectitle"/>
    <w:next w:val="Normal"/>
    <w:rsid w:val="00474D7D"/>
  </w:style>
  <w:style w:type="paragraph" w:customStyle="1" w:styleId="Section1">
    <w:name w:val="Section_1"/>
    <w:basedOn w:val="Normal"/>
    <w:rsid w:val="00474D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74D7D"/>
    <w:rPr>
      <w:b w:val="0"/>
      <w:i/>
    </w:rPr>
  </w:style>
  <w:style w:type="paragraph" w:customStyle="1" w:styleId="Section3">
    <w:name w:val="Section_3"/>
    <w:basedOn w:val="Section1"/>
    <w:rsid w:val="00474D7D"/>
    <w:rPr>
      <w:b w:val="0"/>
    </w:rPr>
  </w:style>
  <w:style w:type="paragraph" w:customStyle="1" w:styleId="SectionNo">
    <w:name w:val="Section_No"/>
    <w:basedOn w:val="AnnexNo"/>
    <w:next w:val="Normal"/>
    <w:rsid w:val="00474D7D"/>
  </w:style>
  <w:style w:type="paragraph" w:customStyle="1" w:styleId="Sectiontitle">
    <w:name w:val="Section_title"/>
    <w:basedOn w:val="Annextitle"/>
    <w:next w:val="Normalaftertitle"/>
    <w:rsid w:val="00474D7D"/>
  </w:style>
  <w:style w:type="paragraph" w:customStyle="1" w:styleId="Source">
    <w:name w:val="Source"/>
    <w:basedOn w:val="Normal"/>
    <w:next w:val="Normal"/>
    <w:rsid w:val="00474D7D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74D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474D7D"/>
  </w:style>
  <w:style w:type="character" w:customStyle="1" w:styleId="Tablefreq">
    <w:name w:val="Table_freq"/>
    <w:rsid w:val="00474D7D"/>
    <w:rPr>
      <w:b/>
      <w:color w:val="auto"/>
      <w:sz w:val="20"/>
    </w:rPr>
  </w:style>
  <w:style w:type="paragraph" w:customStyle="1" w:styleId="Tabletext">
    <w:name w:val="Table_text"/>
    <w:basedOn w:val="Normal"/>
    <w:rsid w:val="00474D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474D7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74D7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474D7D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474D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74D7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47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74D7D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474D7D"/>
    <w:rPr>
      <w:lang w:val="fr-CH"/>
    </w:rPr>
  </w:style>
  <w:style w:type="paragraph" w:customStyle="1" w:styleId="AppArtNo">
    <w:name w:val="App_Art_No"/>
    <w:basedOn w:val="ArtNo"/>
    <w:next w:val="AppArttitle"/>
    <w:qFormat/>
    <w:rsid w:val="00474D7D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726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268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F6EEAE-B6E3-49E7-A241-054FAD85E12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15</TotalTime>
  <Pages>1</Pages>
  <Words>249</Words>
  <Characters>1370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R15-WRC15-C-0032!A9!MSW-F</vt:lpstr>
    </vt:vector>
  </TitlesOfParts>
  <Manager>Secrétariat général - Pool</Manager>
  <Company>Union internationale des télécommunications (UIT)</Company>
  <LinksUpToDate>false</LinksUpToDate>
  <CharactersWithSpaces>1593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6</cp:revision>
  <cp:lastPrinted>2015-10-01T15:01:00Z</cp:lastPrinted>
  <dcterms:created xsi:type="dcterms:W3CDTF">2015-10-01T08:19:00Z</dcterms:created>
  <dcterms:modified xsi:type="dcterms:W3CDTF">2015-10-01T15:01:00Z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