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34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30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Thailand</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1.8</w:t>
            </w:r>
          </w:p>
        </w:tc>
      </w:tr>
    </w:tbl>
    <w:bookmarkEnd w:id="7"/>
    <w:bookmarkEnd w:id="8"/>
    <w:p w:rsidR="008208CE" w:rsidRDefault="008208CE" w:rsidP="008208CE">
      <w:pPr>
        <w:overflowPunct/>
        <w:autoSpaceDE/>
        <w:autoSpaceDN/>
        <w:adjustRightInd/>
        <w:textAlignment w:val="auto"/>
      </w:pPr>
      <w:r w:rsidRPr="009A2B70">
        <w:t>1.8</w:t>
      </w:r>
      <w:r w:rsidRPr="009A2B70">
        <w:tab/>
        <w:t xml:space="preserve">to review the provisions relating to earth stations located on board vessels (ESVs), based on studies conducted in accordance with Resolution </w:t>
      </w:r>
      <w:r w:rsidRPr="009A2B70">
        <w:rPr>
          <w:b/>
        </w:rPr>
        <w:t>909 (WRC</w:t>
      </w:r>
      <w:r w:rsidRPr="009A2B70">
        <w:rPr>
          <w:b/>
        </w:rPr>
        <w:noBreakHyphen/>
        <w:t>12)</w:t>
      </w:r>
      <w:r w:rsidRPr="009A2B70">
        <w:t>;</w:t>
      </w:r>
    </w:p>
    <w:p w:rsidR="00DC48CC" w:rsidRDefault="00DC48CC" w:rsidP="008208CE">
      <w:pPr>
        <w:overflowPunct/>
        <w:autoSpaceDE/>
        <w:autoSpaceDN/>
        <w:adjustRightInd/>
        <w:textAlignment w:val="auto"/>
      </w:pPr>
    </w:p>
    <w:p w:rsidR="008208CE" w:rsidRPr="00DC48CC" w:rsidRDefault="008208CE" w:rsidP="008208CE">
      <w:pPr>
        <w:pStyle w:val="Headingb"/>
        <w:rPr>
          <w:lang w:val="en-US" w:eastAsia="ko-KR"/>
        </w:rPr>
      </w:pPr>
      <w:r w:rsidRPr="00DC48CC">
        <w:rPr>
          <w:lang w:val="en-US" w:eastAsia="ko-KR"/>
        </w:rPr>
        <w:t>Introduction</w:t>
      </w:r>
    </w:p>
    <w:p w:rsidR="008208CE" w:rsidRDefault="008208CE" w:rsidP="008208CE">
      <w:pPr>
        <w:rPr>
          <w:rFonts w:eastAsia="Calibri"/>
          <w:lang w:val="en-AU"/>
        </w:rPr>
      </w:pPr>
      <w:r w:rsidRPr="009216D4">
        <w:rPr>
          <w:rFonts w:eastAsia="Calibri"/>
          <w:lang w:val="en-AU"/>
        </w:rPr>
        <w:t>WRC-03 introduced provisions for the use of ESVs operat</w:t>
      </w:r>
      <w:r>
        <w:rPr>
          <w:rFonts w:eastAsia="Calibri"/>
          <w:lang w:val="en-AU"/>
        </w:rPr>
        <w:t>ing in the FSS in ‘standard’ C-b</w:t>
      </w:r>
      <w:r w:rsidRPr="009216D4">
        <w:rPr>
          <w:rFonts w:eastAsia="Calibri"/>
          <w:lang w:val="en-AU"/>
        </w:rPr>
        <w:t>and and Ku-</w:t>
      </w:r>
      <w:r>
        <w:rPr>
          <w:rFonts w:eastAsia="Calibri"/>
          <w:lang w:val="en-AU"/>
        </w:rPr>
        <w:t>b</w:t>
      </w:r>
      <w:r w:rsidRPr="009216D4">
        <w:rPr>
          <w:rFonts w:eastAsia="Calibri"/>
          <w:lang w:val="en-AU"/>
        </w:rPr>
        <w:t>and uplink spectrum, resulting in Resolution 902, w</w:t>
      </w:r>
      <w:r>
        <w:rPr>
          <w:rFonts w:eastAsia="Calibri"/>
          <w:lang w:val="en-AU"/>
        </w:rPr>
        <w:t>hich was intended to protect co</w:t>
      </w:r>
      <w:r>
        <w:rPr>
          <w:rFonts w:eastAsia="Calibri"/>
          <w:lang w:val="en-AU"/>
        </w:rPr>
        <w:noBreakHyphen/>
      </w:r>
      <w:r w:rsidRPr="009216D4">
        <w:rPr>
          <w:rFonts w:eastAsia="Calibri"/>
          <w:lang w:val="en-AU"/>
        </w:rPr>
        <w:t xml:space="preserve">frequency terrestrial services. Given </w:t>
      </w:r>
      <w:r w:rsidRPr="00A8170C">
        <w:rPr>
          <w:rFonts w:eastAsia="Calibri"/>
          <w:lang w:val="en-AU"/>
        </w:rPr>
        <w:t>current ESV technologies and technical characteristics that are being used or planned to be used</w:t>
      </w:r>
      <w:r w:rsidRPr="009216D4">
        <w:rPr>
          <w:rFonts w:eastAsia="Calibri"/>
          <w:lang w:val="en-AU"/>
        </w:rPr>
        <w:t>, WRC-12 established agenda item 1.8 with a view to determin</w:t>
      </w:r>
      <w:r>
        <w:rPr>
          <w:rFonts w:eastAsia="Calibri"/>
          <w:lang w:val="en-AU"/>
        </w:rPr>
        <w:t>ing</w:t>
      </w:r>
      <w:r w:rsidRPr="009216D4">
        <w:rPr>
          <w:rFonts w:eastAsia="Calibri"/>
          <w:lang w:val="en-AU"/>
        </w:rPr>
        <w:t xml:space="preserve"> whether the provisions of Resolution 902 (WRC-03) could be </w:t>
      </w:r>
      <w:r>
        <w:rPr>
          <w:rFonts w:eastAsia="SimSun" w:hint="eastAsia"/>
          <w:lang w:val="en-AU" w:eastAsia="zh-CN"/>
        </w:rPr>
        <w:t>possibly modified</w:t>
      </w:r>
      <w:r w:rsidRPr="009216D4">
        <w:rPr>
          <w:rFonts w:eastAsia="Calibri"/>
          <w:lang w:val="en-AU"/>
        </w:rPr>
        <w:t>.</w:t>
      </w:r>
    </w:p>
    <w:p w:rsidR="008208CE" w:rsidRDefault="008208CE" w:rsidP="008208CE">
      <w:r>
        <w:rPr>
          <w:rFonts w:eastAsia="Calibri"/>
        </w:rPr>
        <w:t>Thailand</w:t>
      </w:r>
      <w:r w:rsidRPr="00086D2A">
        <w:rPr>
          <w:rFonts w:eastAsia="Calibri"/>
        </w:rPr>
        <w:t xml:space="preserve"> supports </w:t>
      </w:r>
      <w:r>
        <w:rPr>
          <w:rFonts w:eastAsia="Calibri"/>
        </w:rPr>
        <w:t>Method C of the CPM Report to modify</w:t>
      </w:r>
      <w:r w:rsidRPr="00086D2A">
        <w:rPr>
          <w:rFonts w:eastAsia="Calibri"/>
        </w:rPr>
        <w:t xml:space="preserve"> </w:t>
      </w:r>
      <w:r w:rsidRPr="009216D4">
        <w:rPr>
          <w:rFonts w:eastAsia="Calibri"/>
          <w:lang w:val="en-AU"/>
        </w:rPr>
        <w:t>provisions of Resolution 902 (WRC-03)</w:t>
      </w:r>
      <w:r>
        <w:rPr>
          <w:rFonts w:eastAsia="Calibri"/>
          <w:lang w:val="en-AU"/>
        </w:rPr>
        <w:t xml:space="preserve"> </w:t>
      </w:r>
      <w:r w:rsidRPr="00086D2A">
        <w:rPr>
          <w:rFonts w:eastAsia="Calibri"/>
        </w:rPr>
        <w:t>relating to earth stations locat</w:t>
      </w:r>
      <w:r>
        <w:rPr>
          <w:rFonts w:eastAsia="Calibri"/>
        </w:rPr>
        <w:t xml:space="preserve">ed on board vessels (ESVs) to </w:t>
      </w:r>
      <w:r w:rsidRPr="00086D2A">
        <w:rPr>
          <w:rFonts w:eastAsia="Calibri"/>
        </w:rPr>
        <w:t>promote efficient use of spectrum while maintaining sufficient protection of existing services</w:t>
      </w:r>
      <w:r>
        <w:rPr>
          <w:rFonts w:eastAsia="Calibri"/>
        </w:rPr>
        <w:t>.</w:t>
      </w:r>
      <w:r>
        <w:t xml:space="preserve"> Suppression of Resolution </w:t>
      </w:r>
      <w:r w:rsidRPr="00A87F94">
        <w:rPr>
          <w:bCs/>
        </w:rPr>
        <w:t>909 (WRC-12)</w:t>
      </w:r>
      <w:r>
        <w:t xml:space="preserve"> would also be a consequential change.</w:t>
      </w:r>
    </w:p>
    <w:p w:rsidR="008208CE" w:rsidRPr="00DC48CC" w:rsidRDefault="008208CE" w:rsidP="008208CE">
      <w:pPr>
        <w:pStyle w:val="Headingb"/>
        <w:rPr>
          <w:lang w:val="en-US"/>
        </w:rPr>
      </w:pPr>
      <w:r w:rsidRPr="00DC48CC">
        <w:rPr>
          <w:lang w:val="en-US" w:eastAsia="ko-KR"/>
        </w:rPr>
        <w:t>Proposals</w:t>
      </w:r>
    </w:p>
    <w:p w:rsidR="008208CE" w:rsidRDefault="008208CE" w:rsidP="008208CE">
      <w:pPr>
        <w:pStyle w:val="Proposal"/>
      </w:pPr>
      <w:r>
        <w:rPr>
          <w:lang w:eastAsia="ko-KR"/>
        </w:rPr>
        <w:br w:type="page"/>
      </w:r>
      <w:r>
        <w:lastRenderedPageBreak/>
        <w:t>MOD</w:t>
      </w:r>
      <w:r>
        <w:tab/>
        <w:t>THA/34A8/1</w:t>
      </w:r>
    </w:p>
    <w:p w:rsidR="008208CE" w:rsidRPr="006905BC" w:rsidRDefault="008208CE" w:rsidP="008208CE">
      <w:pPr>
        <w:pStyle w:val="ResNo"/>
      </w:pPr>
      <w:r w:rsidRPr="006905BC">
        <w:t xml:space="preserve">RESOLUTION </w:t>
      </w:r>
      <w:r w:rsidRPr="006905BC">
        <w:rPr>
          <w:rStyle w:val="href"/>
        </w:rPr>
        <w:t>902</w:t>
      </w:r>
      <w:r w:rsidRPr="006905BC">
        <w:t xml:space="preserve"> (</w:t>
      </w:r>
      <w:ins w:id="9" w:author="Onanong P. Sa-nguantongalya" w:date="2015-08-24T21:15:00Z">
        <w:r>
          <w:t>REV.</w:t>
        </w:r>
      </w:ins>
      <w:r w:rsidRPr="006905BC">
        <w:t>WRC-</w:t>
      </w:r>
      <w:del w:id="10" w:author="Onanong P. Sa-nguantongalya" w:date="2015-08-24T21:13:00Z">
        <w:r w:rsidRPr="006905BC" w:rsidDel="000D1B1B">
          <w:delText>03</w:delText>
        </w:r>
      </w:del>
      <w:ins w:id="11" w:author="Onanong P. Sa-nguantongalya" w:date="2015-08-24T21:15:00Z">
        <w:r>
          <w:t>15</w:t>
        </w:r>
      </w:ins>
      <w:r w:rsidRPr="006905BC">
        <w:t>)</w:t>
      </w:r>
    </w:p>
    <w:p w:rsidR="008208CE" w:rsidRPr="006905BC" w:rsidRDefault="008208CE" w:rsidP="008208CE">
      <w:pPr>
        <w:pStyle w:val="Restitle"/>
      </w:pPr>
      <w:bookmarkStart w:id="12" w:name="_Toc327364595"/>
      <w:r w:rsidRPr="006905BC">
        <w:t>Provisions relating to earth stations located on board vessels which operate in fixed-satellite servi</w:t>
      </w:r>
      <w:r>
        <w:t xml:space="preserve">ce networks in the uplink bands </w:t>
      </w:r>
      <w:r w:rsidRPr="006905BC">
        <w:t xml:space="preserve">5 925-6 425 MHz </w:t>
      </w:r>
      <w:r>
        <w:br/>
      </w:r>
      <w:r w:rsidRPr="006905BC">
        <w:t>and 14-14.5 GHz</w:t>
      </w:r>
      <w:bookmarkEnd w:id="12"/>
    </w:p>
    <w:p w:rsidR="008208CE" w:rsidRPr="006905BC" w:rsidRDefault="008208CE" w:rsidP="008208CE">
      <w:pPr>
        <w:pStyle w:val="Normalaftertitle"/>
      </w:pPr>
      <w:r w:rsidRPr="006905BC">
        <w:t>The World Radiocommun</w:t>
      </w:r>
      <w:r>
        <w:t>ication Conference (Geneva, 20</w:t>
      </w:r>
      <w:del w:id="13" w:author="Onanong P. Sa-nguantongalya" w:date="2015-09-01T13:46:00Z">
        <w:r w:rsidDel="00636362">
          <w:delText>03</w:delText>
        </w:r>
      </w:del>
      <w:ins w:id="14" w:author="Onanong P. Sa-nguantongalya" w:date="2015-09-01T13:46:00Z">
        <w:r>
          <w:t>15</w:t>
        </w:r>
      </w:ins>
      <w:r w:rsidRPr="006905BC">
        <w:t>),</w:t>
      </w:r>
    </w:p>
    <w:p w:rsidR="008208CE" w:rsidRPr="006905BC" w:rsidRDefault="008208CE" w:rsidP="008208CE">
      <w:pPr>
        <w:pStyle w:val="Call"/>
      </w:pPr>
      <w:r w:rsidRPr="006905BC">
        <w:t>considering</w:t>
      </w:r>
    </w:p>
    <w:p w:rsidR="008208CE" w:rsidRPr="006905BC" w:rsidRDefault="008208CE" w:rsidP="008208CE">
      <w:r w:rsidRPr="006905BC">
        <w:rPr>
          <w:i/>
          <w:color w:val="000000"/>
        </w:rPr>
        <w:t>a)</w:t>
      </w:r>
      <w:r w:rsidRPr="006905BC">
        <w:rPr>
          <w:color w:val="000000"/>
        </w:rPr>
        <w:tab/>
        <w:t>that there is a demand for global wideband satellite communication services on vessels;</w:t>
      </w:r>
    </w:p>
    <w:p w:rsidR="008208CE" w:rsidRPr="006905BC" w:rsidRDefault="008208CE" w:rsidP="008208CE">
      <w:r w:rsidRPr="006905BC">
        <w:rPr>
          <w:i/>
        </w:rPr>
        <w:t>b)</w:t>
      </w:r>
      <w:r w:rsidRPr="006905BC">
        <w:tab/>
        <w:t>that the technology exists that enables earth stations on board vessels (ESVs) to use fixed-satellite service (FSS) networks operating in the uplink bands 5 925-6 425 MHz and 14</w:t>
      </w:r>
      <w:r w:rsidRPr="006905BC">
        <w:noBreakHyphen/>
        <w:t>14.5 GHz;</w:t>
      </w:r>
    </w:p>
    <w:p w:rsidR="008208CE" w:rsidRPr="006905BC" w:rsidRDefault="008208CE" w:rsidP="008208CE">
      <w:r w:rsidRPr="006905BC">
        <w:rPr>
          <w:i/>
        </w:rPr>
        <w:t>c)</w:t>
      </w:r>
      <w:r w:rsidRPr="006905BC">
        <w:tab/>
        <w:t>that ESVs are currently operating through FSS networks in the bands 3 700-4 200 MHz, 5 925-6 425 MHz, 10.7-12.75 GHz and 14-14.5 GHz under No. </w:t>
      </w:r>
      <w:r w:rsidRPr="006905BC">
        <w:rPr>
          <w:rStyle w:val="Artref"/>
          <w:b/>
          <w:color w:val="000000"/>
        </w:rPr>
        <w:t>4.4</w:t>
      </w:r>
      <w:r w:rsidRPr="006905BC">
        <w:t>;</w:t>
      </w:r>
    </w:p>
    <w:p w:rsidR="008208CE" w:rsidRPr="006905BC" w:rsidRDefault="008208CE" w:rsidP="008208CE">
      <w:r w:rsidRPr="006905BC">
        <w:rPr>
          <w:i/>
        </w:rPr>
        <w:t>d)</w:t>
      </w:r>
      <w:r w:rsidRPr="006905BC">
        <w:tab/>
        <w:t>that ESVs have the potential to cause unacceptable interference to other services in the bands 5 925-6 425 MHz and 14-14.5 GHz;</w:t>
      </w:r>
    </w:p>
    <w:p w:rsidR="008208CE" w:rsidRPr="006905BC" w:rsidRDefault="008208CE" w:rsidP="008208CE">
      <w:r w:rsidRPr="006905BC">
        <w:rPr>
          <w:i/>
        </w:rPr>
        <w:t>e)</w:t>
      </w:r>
      <w:r w:rsidRPr="006905BC">
        <w:tab/>
        <w:t>that, with respect to the bands considered in this Resolution, global coverage is only available in the band 5 925-6 425 MHz and that only a limited number of geostationary FSS systems can provide such global coverage;</w:t>
      </w:r>
    </w:p>
    <w:p w:rsidR="008208CE" w:rsidRPr="006905BC" w:rsidRDefault="008208CE" w:rsidP="008208CE">
      <w:r w:rsidRPr="006905BC">
        <w:rPr>
          <w:i/>
        </w:rPr>
        <w:t>f)</w:t>
      </w:r>
      <w:r w:rsidRPr="006905BC">
        <w:tab/>
        <w:t>that, without special regulatory provisions, ESVs could place a heavy coordination burden on some administrations, especially those in developing countries;</w:t>
      </w:r>
    </w:p>
    <w:p w:rsidR="008208CE" w:rsidRPr="006905BC" w:rsidRDefault="008208CE" w:rsidP="008208CE">
      <w:r w:rsidRPr="006905BC">
        <w:rPr>
          <w:i/>
        </w:rPr>
        <w:t>g)</w:t>
      </w:r>
      <w:r w:rsidRPr="006905BC">
        <w:tab/>
        <w:t>that, in order to ensure the protection and future growth of other services, ESVs need to operate under certain technical and operational limitations;</w:t>
      </w:r>
    </w:p>
    <w:p w:rsidR="008208CE" w:rsidRPr="006905BC" w:rsidRDefault="008208CE" w:rsidP="008208CE">
      <w:r w:rsidRPr="006905BC">
        <w:rPr>
          <w:i/>
        </w:rPr>
        <w:t>h)</w:t>
      </w:r>
      <w:r w:rsidRPr="006905BC">
        <w:tab/>
        <w:t>that, within ITU</w:t>
      </w:r>
      <w:r w:rsidRPr="006905BC">
        <w:noBreakHyphen/>
        <w:t>R studies, based on agreed technical assumptions, minimum distances from the low-water mark as officially recognized by the coastal State have been calculated, beyond which an ESV will not have the potential to cause unacceptable interference to other services in the bands 5 925-6 425 MHz and 14-14.5 GHz;</w:t>
      </w:r>
    </w:p>
    <w:p w:rsidR="008208CE" w:rsidRPr="006905BC" w:rsidRDefault="008208CE" w:rsidP="008208CE">
      <w:r w:rsidRPr="006905BC">
        <w:rPr>
          <w:i/>
        </w:rPr>
        <w:t>i)</w:t>
      </w:r>
      <w:r w:rsidRPr="006905BC">
        <w:tab/>
        <w:t>that, in order to limit the interference into other networks in the FSS, it is necessary to establish maximum off-axis e.i.r.p. density limits on ESV emissions;</w:t>
      </w:r>
    </w:p>
    <w:p w:rsidR="008208CE" w:rsidRPr="006905BC" w:rsidRDefault="008208CE" w:rsidP="008208CE">
      <w:r w:rsidRPr="006905BC">
        <w:rPr>
          <w:i/>
        </w:rPr>
        <w:t>j)</w:t>
      </w:r>
      <w:r w:rsidRPr="006905BC">
        <w:tab/>
        <w:t>that establishing a minimum antenna diameter for ESVs has an impact on the number of ESVs that will ultimately be deployed, hence it will reduce interference into the fixed service,</w:t>
      </w:r>
    </w:p>
    <w:p w:rsidR="008208CE" w:rsidRPr="006905BC" w:rsidRDefault="008208CE" w:rsidP="008208CE">
      <w:pPr>
        <w:pStyle w:val="Call"/>
      </w:pPr>
      <w:r w:rsidRPr="006905BC">
        <w:t>noting</w:t>
      </w:r>
    </w:p>
    <w:p w:rsidR="008208CE" w:rsidRPr="006905BC" w:rsidRDefault="008208CE" w:rsidP="008208CE">
      <w:r w:rsidRPr="006905BC">
        <w:rPr>
          <w:i/>
          <w:color w:val="000000"/>
        </w:rPr>
        <w:t>a)</w:t>
      </w:r>
      <w:r w:rsidRPr="006905BC">
        <w:rPr>
          <w:color w:val="000000"/>
        </w:rPr>
        <w:tab/>
        <w:t>that ESVs may be assigned frequencies to operate in FSS networks in the band</w:t>
      </w:r>
      <w:r w:rsidRPr="006905BC">
        <w:t>s 3 700-4 200 MHz, 5 925-6 425 MHz,</w:t>
      </w:r>
      <w:r w:rsidRPr="006905BC">
        <w:rPr>
          <w:color w:val="000000"/>
        </w:rPr>
        <w:t xml:space="preserve"> 10.7-12.75 GHz and 14-14.5 GHz pursuant to No. </w:t>
      </w:r>
      <w:r w:rsidRPr="006905BC">
        <w:rPr>
          <w:rStyle w:val="Artref"/>
          <w:b/>
          <w:color w:val="000000"/>
        </w:rPr>
        <w:t>4.4</w:t>
      </w:r>
      <w:r w:rsidRPr="006905BC">
        <w:rPr>
          <w:color w:val="000000"/>
        </w:rPr>
        <w:t xml:space="preserve"> and shall not claim protection from, nor cause interference to, other services having allocations in these bands;</w:t>
      </w:r>
    </w:p>
    <w:p w:rsidR="008208CE" w:rsidRPr="006905BC" w:rsidRDefault="008208CE" w:rsidP="008208CE">
      <w:r w:rsidRPr="006905BC">
        <w:rPr>
          <w:i/>
        </w:rPr>
        <w:t>b)</w:t>
      </w:r>
      <w:r w:rsidRPr="006905BC">
        <w:tab/>
        <w:t>that the regulatory procedures of Article </w:t>
      </w:r>
      <w:r w:rsidRPr="006905BC">
        <w:rPr>
          <w:rStyle w:val="Artref"/>
          <w:b/>
          <w:bCs/>
          <w:color w:val="000000"/>
        </w:rPr>
        <w:t>9</w:t>
      </w:r>
      <w:r w:rsidRPr="006905BC">
        <w:t xml:space="preserve"> apply for ESVs operating at specified fixed points,</w:t>
      </w:r>
    </w:p>
    <w:p w:rsidR="008208CE" w:rsidRPr="006905BC" w:rsidRDefault="008208CE" w:rsidP="008208CE">
      <w:pPr>
        <w:pStyle w:val="Call"/>
      </w:pPr>
      <w:r w:rsidRPr="006905BC">
        <w:lastRenderedPageBreak/>
        <w:t>resolves</w:t>
      </w:r>
    </w:p>
    <w:p w:rsidR="008208CE" w:rsidRDefault="008208CE">
      <w:pPr>
        <w:rPr>
          <w:ins w:id="15" w:author="Onanong P. Sa-nguantongalya" w:date="2015-09-01T13:51:00Z"/>
          <w:rPrChange w:id="16" w:author="Onanong P. Sa-nguantongalya" w:date="2015-09-01T13:51:00Z">
            <w:rPr>
              <w:ins w:id="17" w:author="Onanong P. Sa-nguantongalya" w:date="2015-09-01T13:51:00Z"/>
              <w:color w:val="000000"/>
            </w:rPr>
          </w:rPrChange>
        </w:rPr>
      </w:pPr>
      <w:ins w:id="18" w:author="Bonnici, Adrienne" w:date="2015-10-19T11:52:00Z">
        <w:r>
          <w:t>1</w:t>
        </w:r>
        <w:r>
          <w:tab/>
        </w:r>
      </w:ins>
      <w:r w:rsidRPr="00B200A1">
        <w:t xml:space="preserve">that ESVs transmitting in the </w:t>
      </w:r>
      <w:r w:rsidRPr="006905BC">
        <w:t>5 925-6 425 </w:t>
      </w:r>
      <w:r w:rsidRPr="00B200A1">
        <w:t>MHz and 14-14.5 GHz bands shall operate under the regulatory and operational provisions contained in Annex 1 and the technical limitations in Annex 2 of this Resolution,</w:t>
      </w:r>
      <w:ins w:id="19" w:author="Onanong P. Sa-nguantongalya" w:date="2015-09-01T13:51:00Z">
        <w:r>
          <w:t xml:space="preserve"> </w:t>
        </w:r>
      </w:ins>
    </w:p>
    <w:p w:rsidR="008208CE" w:rsidRDefault="008208CE">
      <w:pPr>
        <w:rPr>
          <w:ins w:id="20" w:author="Onanong P. Sa-nguantongalya" w:date="2015-09-01T13:53:00Z"/>
          <w:rPrChange w:id="21" w:author="Onanong P. Sa-nguantongalya" w:date="2015-09-01T13:54:00Z">
            <w:rPr>
              <w:ins w:id="22" w:author="Onanong P. Sa-nguantongalya" w:date="2015-09-01T13:53:00Z"/>
              <w:rFonts w:ascii="TimesNewRoman" w:hAnsi="TimesNewRoman" w:cs="TimesNewRoman"/>
              <w:szCs w:val="24"/>
              <w:lang w:val="en-US" w:eastAsia="zh-CN" w:bidi="th-TH"/>
            </w:rPr>
          </w:rPrChange>
        </w:rPr>
      </w:pPr>
      <w:ins w:id="23" w:author="Bonnici, Adrienne" w:date="2015-10-19T11:52:00Z">
        <w:r>
          <w:rPr>
            <w:rFonts w:ascii="TimesNewRoman" w:hAnsi="TimesNewRoman" w:cs="TimesNewRoman"/>
            <w:szCs w:val="24"/>
            <w:lang w:val="en-US" w:eastAsia="zh-CN" w:bidi="th-TH"/>
          </w:rPr>
          <w:t>2</w:t>
        </w:r>
        <w:r>
          <w:rPr>
            <w:rFonts w:ascii="TimesNewRoman" w:hAnsi="TimesNewRoman" w:cs="TimesNewRoman"/>
            <w:szCs w:val="24"/>
            <w:lang w:val="en-US" w:eastAsia="zh-CN" w:bidi="th-TH"/>
          </w:rPr>
          <w:tab/>
        </w:r>
      </w:ins>
      <w:ins w:id="24" w:author="Onanong P. Sa-nguantongalya" w:date="2015-09-01T13:52:00Z">
        <w:r>
          <w:rPr>
            <w:rFonts w:ascii="TimesNewRoman" w:hAnsi="TimesNewRoman" w:cs="TimesNewRoman"/>
            <w:szCs w:val="24"/>
            <w:lang w:val="en-US" w:eastAsia="zh-CN" w:bidi="th-TH"/>
          </w:rPr>
          <w:t xml:space="preserve">that ESVs transmitting maximum e.i.r.p. spectral density levels such that the required protection distances established in this Resolution are shorter than those contained </w:t>
        </w:r>
      </w:ins>
      <w:ins w:id="25" w:author="Onanong P. Sa-nguantongalya" w:date="2015-09-01T13:53:00Z">
        <w:r>
          <w:rPr>
            <w:rFonts w:ascii="TimesNewRoman" w:hAnsi="TimesNewRoman" w:cs="TimesNewRoman"/>
            <w:szCs w:val="24"/>
            <w:lang w:val="en-US" w:eastAsia="zh-CN" w:bidi="th-TH"/>
          </w:rPr>
          <w:t xml:space="preserve">in Resolution </w:t>
        </w:r>
        <w:r w:rsidRPr="00B200A1">
          <w:rPr>
            <w:rFonts w:ascii="TimesNewRoman" w:hAnsi="TimesNewRoman" w:cs="TimesNewRoman"/>
            <w:b/>
            <w:bCs/>
            <w:szCs w:val="24"/>
            <w:lang w:val="en-US" w:eastAsia="zh-CN" w:bidi="th-TH"/>
            <w:rPrChange w:id="26" w:author="Onanong P. Sa-nguantongalya" w:date="2015-09-01T13:54:00Z">
              <w:rPr>
                <w:rFonts w:ascii="TimesNewRoman" w:hAnsi="TimesNewRoman" w:cs="TimesNewRoman"/>
                <w:szCs w:val="24"/>
                <w:lang w:val="en-US" w:eastAsia="zh-CN" w:bidi="th-TH"/>
              </w:rPr>
            </w:rPrChange>
          </w:rPr>
          <w:t>902 (WRC-03)</w:t>
        </w:r>
        <w:r>
          <w:rPr>
            <w:rFonts w:ascii="TimesNewRoman" w:hAnsi="TimesNewRoman" w:cs="TimesNewRoman"/>
            <w:szCs w:val="24"/>
            <w:lang w:val="en-US" w:eastAsia="zh-CN" w:bidi="th-TH"/>
          </w:rPr>
          <w:t xml:space="preserve"> shall operate in accordance with the regulatory conditions establish</w:t>
        </w:r>
      </w:ins>
      <w:ins w:id="27" w:author="Onanong P. Sa-nguantongalya" w:date="2015-09-01T14:32:00Z">
        <w:r>
          <w:rPr>
            <w:rFonts w:ascii="TimesNewRoman" w:hAnsi="TimesNewRoman" w:cs="TimesNewRoman"/>
            <w:szCs w:val="24"/>
            <w:lang w:val="en-US" w:eastAsia="zh-CN" w:bidi="th-TH"/>
          </w:rPr>
          <w:t>ed</w:t>
        </w:r>
      </w:ins>
      <w:ins w:id="28" w:author="Onanong P. Sa-nguantongalya" w:date="2015-09-01T13:53:00Z">
        <w:r>
          <w:rPr>
            <w:rFonts w:ascii="TimesNewRoman" w:hAnsi="TimesNewRoman" w:cs="TimesNewRoman"/>
            <w:szCs w:val="24"/>
            <w:lang w:val="en-US" w:eastAsia="zh-CN" w:bidi="th-TH"/>
          </w:rPr>
          <w:t xml:space="preserve"> in this Resolution for the date it comes into force;</w:t>
        </w:r>
      </w:ins>
    </w:p>
    <w:p w:rsidR="008208CE" w:rsidRPr="003C2B34" w:rsidRDefault="008208CE">
      <w:pPr>
        <w:rPr>
          <w:ins w:id="29" w:author="Onanong P. Sa-nguantongalya" w:date="2015-09-01T13:54:00Z"/>
        </w:rPr>
        <w:pPrChange w:id="30" w:author="Bonnici, Adrienne" w:date="2015-10-19T11:52:00Z">
          <w:pPr>
            <w:pStyle w:val="ListParagraph"/>
            <w:ind w:left="0"/>
          </w:pPr>
        </w:pPrChange>
      </w:pPr>
      <w:ins w:id="31" w:author="Bonnici, Adrienne" w:date="2015-10-19T11:52:00Z">
        <w:r>
          <w:rPr>
            <w:rFonts w:ascii="TimesNewRoman" w:hAnsi="TimesNewRoman" w:cs="TimesNewRoman"/>
            <w:szCs w:val="24"/>
            <w:lang w:val="en-US" w:eastAsia="zh-CN" w:bidi="th-TH"/>
          </w:rPr>
          <w:t>3</w:t>
        </w:r>
        <w:r>
          <w:rPr>
            <w:rFonts w:ascii="TimesNewRoman" w:hAnsi="TimesNewRoman" w:cs="TimesNewRoman"/>
            <w:szCs w:val="24"/>
            <w:lang w:val="en-US" w:eastAsia="zh-CN" w:bidi="th-TH"/>
          </w:rPr>
          <w:tab/>
        </w:r>
      </w:ins>
      <w:ins w:id="32" w:author="Onanong P. Sa-nguantongalya" w:date="2015-09-01T13:54:00Z">
        <w:r>
          <w:rPr>
            <w:rFonts w:ascii="TimesNewRoman" w:hAnsi="TimesNewRoman" w:cs="TimesNewRoman"/>
            <w:szCs w:val="24"/>
            <w:lang w:val="en-US" w:eastAsia="zh-CN" w:bidi="th-TH"/>
          </w:rPr>
          <w:t xml:space="preserve">that ESVs transmitting maximum e.i.r.p. spectral density levels such that the required protection distances established in this Resolution are larger than those contained in Resolution </w:t>
        </w:r>
        <w:r w:rsidRPr="00B200A1">
          <w:rPr>
            <w:rFonts w:ascii="TimesNewRoman" w:hAnsi="TimesNewRoman" w:cs="TimesNewRoman"/>
            <w:b/>
            <w:bCs/>
            <w:szCs w:val="24"/>
            <w:lang w:val="en-US" w:eastAsia="zh-CN" w:bidi="th-TH"/>
            <w:rPrChange w:id="33" w:author="Onanong P. Sa-nguantongalya" w:date="2015-09-01T13:54:00Z">
              <w:rPr>
                <w:rFonts w:ascii="TimesNewRoman" w:hAnsi="TimesNewRoman" w:cs="TimesNewRoman"/>
                <w:szCs w:val="24"/>
                <w:lang w:val="en-US" w:eastAsia="zh-CN" w:bidi="th-TH"/>
              </w:rPr>
            </w:rPrChange>
          </w:rPr>
          <w:t>902 (WRC-03)</w:t>
        </w:r>
        <w:r>
          <w:rPr>
            <w:rFonts w:ascii="TimesNewRoman" w:hAnsi="TimesNewRoman" w:cs="TimesNewRoman"/>
            <w:szCs w:val="24"/>
            <w:lang w:val="en-US" w:eastAsia="zh-CN" w:bidi="th-TH"/>
          </w:rPr>
          <w:t xml:space="preserve"> shall </w:t>
        </w:r>
      </w:ins>
      <w:ins w:id="34" w:author="Onanong P. Sa-nguantongalya" w:date="2015-09-01T14:25:00Z">
        <w:r>
          <w:rPr>
            <w:rFonts w:ascii="TimesNewRoman" w:hAnsi="TimesNewRoman" w:cs="TimesNewRoman"/>
            <w:szCs w:val="24"/>
            <w:lang w:val="en-US" w:eastAsia="zh-CN" w:bidi="th-TH"/>
          </w:rPr>
          <w:t xml:space="preserve">have one year </w:t>
        </w:r>
      </w:ins>
      <w:ins w:id="35" w:author="Onanong P. Sa-nguantongalya" w:date="2015-09-01T13:54:00Z">
        <w:r>
          <w:rPr>
            <w:rFonts w:ascii="TimesNewRoman" w:hAnsi="TimesNewRoman" w:cs="TimesNewRoman"/>
            <w:szCs w:val="24"/>
            <w:lang w:val="en-US" w:eastAsia="zh-CN" w:bidi="th-TH"/>
          </w:rPr>
          <w:t>fr</w:t>
        </w:r>
      </w:ins>
      <w:ins w:id="36" w:author="Onanong P. Sa-nguantongalya" w:date="2015-09-01T14:25:00Z">
        <w:r>
          <w:rPr>
            <w:rFonts w:ascii="TimesNewRoman" w:hAnsi="TimesNewRoman" w:cs="TimesNewRoman"/>
            <w:szCs w:val="24"/>
            <w:lang w:val="en-US" w:eastAsia="zh-CN" w:bidi="th-TH"/>
          </w:rPr>
          <w:t>om</w:t>
        </w:r>
      </w:ins>
      <w:ins w:id="37" w:author="Onanong P. Sa-nguantongalya" w:date="2015-09-01T13:54:00Z">
        <w:r>
          <w:rPr>
            <w:rFonts w:ascii="TimesNewRoman" w:hAnsi="TimesNewRoman" w:cs="TimesNewRoman"/>
            <w:szCs w:val="24"/>
            <w:lang w:val="en-US" w:eastAsia="zh-CN" w:bidi="th-TH"/>
          </w:rPr>
          <w:t xml:space="preserve"> the date</w:t>
        </w:r>
      </w:ins>
      <w:ins w:id="38" w:author="Onanong P. Sa-nguantongalya" w:date="2015-09-01T14:26:00Z">
        <w:r>
          <w:rPr>
            <w:rFonts w:ascii="TimesNewRoman" w:hAnsi="TimesNewRoman" w:cs="TimesNewRoman"/>
            <w:szCs w:val="24"/>
            <w:lang w:val="en-US" w:eastAsia="zh-CN" w:bidi="th-TH"/>
          </w:rPr>
          <w:t xml:space="preserve"> this Resolution</w:t>
        </w:r>
      </w:ins>
      <w:ins w:id="39" w:author="Onanong P. Sa-nguantongalya" w:date="2015-09-01T13:54:00Z">
        <w:r>
          <w:rPr>
            <w:rFonts w:ascii="TimesNewRoman" w:hAnsi="TimesNewRoman" w:cs="TimesNewRoman"/>
            <w:szCs w:val="24"/>
            <w:lang w:val="en-US" w:eastAsia="zh-CN" w:bidi="th-TH"/>
          </w:rPr>
          <w:t xml:space="preserve"> comes into force</w:t>
        </w:r>
      </w:ins>
      <w:ins w:id="40" w:author="Onanong P. Sa-nguantongalya" w:date="2015-09-01T14:26:00Z">
        <w:r>
          <w:rPr>
            <w:rFonts w:ascii="TimesNewRoman" w:hAnsi="TimesNewRoman" w:cs="TimesNewRoman"/>
            <w:szCs w:val="24"/>
            <w:lang w:val="en-US" w:eastAsia="zh-CN" w:bidi="th-TH"/>
          </w:rPr>
          <w:t xml:space="preserve"> to conform to the conditions established herein</w:t>
        </w:r>
      </w:ins>
      <w:ins w:id="41" w:author="Onanong P. Sa-nguantongalya" w:date="2015-09-01T13:54:00Z">
        <w:r>
          <w:rPr>
            <w:rFonts w:ascii="TimesNewRoman" w:hAnsi="TimesNewRoman" w:cs="TimesNewRoman"/>
            <w:szCs w:val="24"/>
            <w:lang w:val="en-US" w:eastAsia="zh-CN" w:bidi="th-TH"/>
          </w:rPr>
          <w:t>,</w:t>
        </w:r>
      </w:ins>
    </w:p>
    <w:p w:rsidR="008208CE" w:rsidRPr="006905BC" w:rsidRDefault="008208CE" w:rsidP="008208CE">
      <w:pPr>
        <w:pStyle w:val="Call"/>
      </w:pPr>
      <w:r w:rsidRPr="006905BC">
        <w:t>encourages concerned administrations</w:t>
      </w:r>
    </w:p>
    <w:p w:rsidR="008208CE" w:rsidRPr="006905BC" w:rsidRDefault="008208CE" w:rsidP="008208CE">
      <w:r w:rsidRPr="006905BC">
        <w:rPr>
          <w:color w:val="000000"/>
        </w:rPr>
        <w:t>to cooperate with administrations which license ESVs while seeking agreement under the above-mentioned provisions, taking into consideration the provisions of Recommendation </w:t>
      </w:r>
      <w:r w:rsidRPr="006905BC">
        <w:rPr>
          <w:b/>
          <w:bCs/>
          <w:color w:val="000000"/>
        </w:rPr>
        <w:t>37</w:t>
      </w:r>
      <w:r w:rsidRPr="006905BC">
        <w:rPr>
          <w:b/>
          <w:color w:val="000000"/>
        </w:rPr>
        <w:t xml:space="preserve"> (WRC</w:t>
      </w:r>
      <w:r w:rsidRPr="006905BC">
        <w:rPr>
          <w:b/>
          <w:color w:val="000000"/>
        </w:rPr>
        <w:noBreakHyphen/>
        <w:t>03)</w:t>
      </w:r>
      <w:r w:rsidRPr="006905BC">
        <w:rPr>
          <w:color w:val="000000"/>
        </w:rPr>
        <w:t>,</w:t>
      </w:r>
    </w:p>
    <w:p w:rsidR="008208CE" w:rsidRPr="006905BC" w:rsidRDefault="008208CE" w:rsidP="008208CE">
      <w:pPr>
        <w:pStyle w:val="Call"/>
      </w:pPr>
      <w:r w:rsidRPr="006905BC">
        <w:t>instructs the Secretary-General</w:t>
      </w:r>
    </w:p>
    <w:p w:rsidR="008208CE" w:rsidRPr="006905BC" w:rsidRDefault="008208CE" w:rsidP="008208CE">
      <w:r w:rsidRPr="006905BC">
        <w:rPr>
          <w:color w:val="000000"/>
        </w:rPr>
        <w:t>to bring this Resolution to the attention of the Secretary-General of the International Maritime Organization (IMO).</w:t>
      </w:r>
    </w:p>
    <w:p w:rsidR="008208CE" w:rsidRPr="006905BC" w:rsidRDefault="008208CE" w:rsidP="008208CE">
      <w:pPr>
        <w:pStyle w:val="AnnexNo"/>
      </w:pPr>
      <w:r w:rsidRPr="006905BC">
        <w:rPr>
          <w:color w:val="000000"/>
        </w:rPr>
        <w:t>ANNEX 1 TO RESOLUTION 902 (</w:t>
      </w:r>
      <w:ins w:id="42" w:author="Onanong P. Sa-nguantongalya" w:date="2015-09-01T13:55:00Z">
        <w:r>
          <w:rPr>
            <w:color w:val="000000"/>
          </w:rPr>
          <w:t>rev.</w:t>
        </w:r>
      </w:ins>
      <w:r w:rsidRPr="006905BC">
        <w:rPr>
          <w:color w:val="000000"/>
        </w:rPr>
        <w:t>WRC-</w:t>
      </w:r>
      <w:del w:id="43" w:author="Onanong P. Sa-nguantongalya" w:date="2015-09-01T13:55:00Z">
        <w:r w:rsidRPr="006905BC" w:rsidDel="009A14A2">
          <w:rPr>
            <w:color w:val="000000"/>
          </w:rPr>
          <w:delText>03</w:delText>
        </w:r>
      </w:del>
      <w:ins w:id="44" w:author="Onanong P. Sa-nguantongalya" w:date="2015-09-01T13:55:00Z">
        <w:r>
          <w:rPr>
            <w:color w:val="000000"/>
          </w:rPr>
          <w:t>15</w:t>
        </w:r>
      </w:ins>
      <w:r w:rsidRPr="006905BC">
        <w:rPr>
          <w:color w:val="000000"/>
        </w:rPr>
        <w:t>)</w:t>
      </w:r>
    </w:p>
    <w:p w:rsidR="008208CE" w:rsidRPr="006905BC" w:rsidRDefault="008208CE" w:rsidP="008208CE">
      <w:pPr>
        <w:pStyle w:val="Annextitle"/>
      </w:pPr>
      <w:r w:rsidRPr="006905BC">
        <w:rPr>
          <w:color w:val="000000"/>
        </w:rPr>
        <w:t xml:space="preserve">Regulatory and operational provisions for ESVs transmitting in the </w:t>
      </w:r>
      <w:r w:rsidRPr="006905BC">
        <w:t>5 925</w:t>
      </w:r>
      <w:r w:rsidRPr="006905BC">
        <w:noBreakHyphen/>
        <w:t>6 425</w:t>
      </w:r>
      <w:r w:rsidRPr="006905BC">
        <w:rPr>
          <w:color w:val="000000"/>
        </w:rPr>
        <w:t> MHz and 14-14.5 GHz bands</w:t>
      </w:r>
    </w:p>
    <w:p w:rsidR="008208CE" w:rsidRPr="006905BC" w:rsidRDefault="008208CE" w:rsidP="008208CE">
      <w:pPr>
        <w:pStyle w:val="Normalaftertitle"/>
      </w:pPr>
      <w:r w:rsidRPr="006905BC">
        <w:t>1</w:t>
      </w:r>
      <w:r w:rsidRPr="006905BC">
        <w:tab/>
        <w:t>The administration that issues the licence for the use of ESVs in these bands (licensing administration) shall ensure that such stations follow the provisions of this Annex and thus do not present any potential to cause unacceptable interference to the services of other concerned administrations.</w:t>
      </w:r>
    </w:p>
    <w:p w:rsidR="008208CE" w:rsidRPr="006905BC" w:rsidRDefault="008208CE" w:rsidP="008208CE">
      <w:r w:rsidRPr="006905BC">
        <w:rPr>
          <w:color w:val="000000"/>
        </w:rPr>
        <w:t>2</w:t>
      </w:r>
      <w:r w:rsidRPr="006905BC">
        <w:rPr>
          <w:color w:val="000000"/>
        </w:rPr>
        <w:tab/>
        <w:t>ESV service providers shall comply with the technical limitations listed in Annex 2 and, when operating within the minimum distances as identified in item 4 below, with the additional limitations agreed by the licensing and other concerned administrations.</w:t>
      </w:r>
    </w:p>
    <w:p w:rsidR="008208CE" w:rsidRPr="006905BC" w:rsidRDefault="008208CE" w:rsidP="008208CE">
      <w:r w:rsidRPr="006905BC">
        <w:t>3</w:t>
      </w:r>
      <w:r w:rsidRPr="006905BC">
        <w:tab/>
        <w:t>In the 3 700</w:t>
      </w:r>
      <w:r w:rsidRPr="006905BC">
        <w:noBreakHyphen/>
        <w:t>4 200 MHz band and 10.7-12.75 GHz range, ESVs in motion shall not claim protection from transmissions of terrestrial services operating in accordance with the Radio Regulations.</w:t>
      </w:r>
    </w:p>
    <w:p w:rsidR="008208CE" w:rsidRPr="006905BC" w:rsidRDefault="008208CE" w:rsidP="008208CE">
      <w:r w:rsidRPr="006905BC">
        <w:t>4</w:t>
      </w:r>
      <w:r w:rsidRPr="006905BC">
        <w:tab/>
        <w:t xml:space="preserve">The minimum distances from the low-water mark as officially recognized by the coastal State beyond which ESVs can operate without the prior agreement of any administration are </w:t>
      </w:r>
      <w:del w:id="45" w:author="Onanong P. Sa-nguantongalya" w:date="2015-09-01T13:55:00Z">
        <w:r w:rsidRPr="006905BC" w:rsidDel="009A14A2">
          <w:delText>300 k</w:delText>
        </w:r>
      </w:del>
      <w:del w:id="46" w:author="Onanong P. Sa-nguantongalya" w:date="2015-09-01T13:56:00Z">
        <w:r w:rsidRPr="006905BC" w:rsidDel="009A14A2">
          <w:delText>m</w:delText>
        </w:r>
      </w:del>
      <w:ins w:id="47" w:author="Onanong P. Sa-nguantongalya" w:date="2015-09-01T13:56:00Z">
        <w:r>
          <w:t>given</w:t>
        </w:r>
      </w:ins>
      <w:r w:rsidRPr="006905BC">
        <w:t xml:space="preserve"> in</w:t>
      </w:r>
      <w:ins w:id="48" w:author="Onanong P. Sa-nguantongalya" w:date="2015-09-01T13:56:00Z">
        <w:r>
          <w:t xml:space="preserve"> Table 1 for</w:t>
        </w:r>
      </w:ins>
      <w:r w:rsidRPr="006905BC">
        <w:t xml:space="preserve"> the 5 925-6 425 MHz band and </w:t>
      </w:r>
      <w:del w:id="49" w:author="Onanong P. Sa-nguantongalya" w:date="2015-09-01T13:56:00Z">
        <w:r w:rsidRPr="006905BC" w:rsidDel="009A14A2">
          <w:delText xml:space="preserve">125 km </w:delText>
        </w:r>
      </w:del>
      <w:r w:rsidRPr="006905BC">
        <w:t>in</w:t>
      </w:r>
      <w:ins w:id="50" w:author="Onanong P. Sa-nguantongalya" w:date="2015-09-01T13:56:00Z">
        <w:r>
          <w:t xml:space="preserve"> Table 2 for</w:t>
        </w:r>
      </w:ins>
      <w:r w:rsidRPr="006905BC">
        <w:t xml:space="preserve"> the 14-14.5 GHz band, taking into account the technical limitations in Annex 2. Any transmissions from ESVs within the minimum distances shall be subject to the prior agreement of the concerned administration(s).</w:t>
      </w:r>
    </w:p>
    <w:p w:rsidR="008208CE" w:rsidRDefault="008208CE" w:rsidP="008208CE">
      <w:r w:rsidRPr="006905BC">
        <w:t>5</w:t>
      </w:r>
      <w:r w:rsidRPr="006905BC">
        <w:tab/>
        <w:t>The potentially concerned administrations referred to in the previous item 4 are those where fixed or mobile services are allocated on a primary basis in the Table of Frequency Allocations of the Radio Regulations:</w:t>
      </w:r>
    </w:p>
    <w:p w:rsidR="008208CE" w:rsidRDefault="008208CE" w:rsidP="008208CE"/>
    <w:p w:rsidR="008208CE" w:rsidRPr="006905BC" w:rsidRDefault="008208CE" w:rsidP="008208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8208CE" w:rsidRPr="006905BC" w:rsidTr="00511B8F">
        <w:trPr>
          <w:jc w:val="center"/>
        </w:trPr>
        <w:tc>
          <w:tcPr>
            <w:tcW w:w="2195" w:type="dxa"/>
          </w:tcPr>
          <w:p w:rsidR="008208CE" w:rsidRPr="006905BC" w:rsidRDefault="008208CE" w:rsidP="00511B8F">
            <w:pPr>
              <w:pStyle w:val="Tablehead"/>
              <w:keepNext w:val="0"/>
              <w:rPr>
                <w:color w:val="000000"/>
              </w:rPr>
            </w:pPr>
            <w:r w:rsidRPr="006905BC">
              <w:rPr>
                <w:color w:val="000000"/>
              </w:rPr>
              <w:t>Frequency bands</w:t>
            </w:r>
          </w:p>
        </w:tc>
        <w:tc>
          <w:tcPr>
            <w:tcW w:w="4849" w:type="dxa"/>
          </w:tcPr>
          <w:p w:rsidR="008208CE" w:rsidRPr="006905BC" w:rsidRDefault="008208CE" w:rsidP="00511B8F">
            <w:pPr>
              <w:pStyle w:val="Tablehead"/>
              <w:rPr>
                <w:color w:val="000000"/>
              </w:rPr>
            </w:pPr>
            <w:r w:rsidRPr="006905BC">
              <w:rPr>
                <w:color w:val="000000"/>
              </w:rPr>
              <w:t>Potentially concerned administrations</w:t>
            </w:r>
          </w:p>
        </w:tc>
      </w:tr>
      <w:tr w:rsidR="008208CE" w:rsidRPr="006905BC" w:rsidTr="00511B8F">
        <w:trPr>
          <w:jc w:val="center"/>
        </w:trPr>
        <w:tc>
          <w:tcPr>
            <w:tcW w:w="2195" w:type="dxa"/>
          </w:tcPr>
          <w:p w:rsidR="008208CE" w:rsidRPr="006905BC" w:rsidRDefault="008208CE" w:rsidP="00511B8F">
            <w:pPr>
              <w:pStyle w:val="Tabletext"/>
            </w:pPr>
            <w:r w:rsidRPr="006905BC">
              <w:rPr>
                <w:color w:val="000000"/>
              </w:rPr>
              <w:t>5 925-6 425 MHz</w:t>
            </w:r>
          </w:p>
        </w:tc>
        <w:tc>
          <w:tcPr>
            <w:tcW w:w="4849" w:type="dxa"/>
          </w:tcPr>
          <w:p w:rsidR="008208CE" w:rsidRPr="006905BC" w:rsidRDefault="008208CE" w:rsidP="00511B8F">
            <w:pPr>
              <w:pStyle w:val="Tabletext"/>
            </w:pPr>
            <w:r w:rsidRPr="006905BC">
              <w:rPr>
                <w:color w:val="000000"/>
              </w:rPr>
              <w:t>All three Regions</w:t>
            </w:r>
          </w:p>
        </w:tc>
      </w:tr>
      <w:tr w:rsidR="008208CE" w:rsidRPr="006905BC" w:rsidTr="00511B8F">
        <w:trPr>
          <w:jc w:val="center"/>
        </w:trPr>
        <w:tc>
          <w:tcPr>
            <w:tcW w:w="2195" w:type="dxa"/>
          </w:tcPr>
          <w:p w:rsidR="008208CE" w:rsidRPr="006905BC" w:rsidRDefault="008208CE" w:rsidP="00511B8F">
            <w:pPr>
              <w:pStyle w:val="Tabletext"/>
            </w:pPr>
            <w:r w:rsidRPr="006905BC">
              <w:rPr>
                <w:color w:val="000000"/>
              </w:rPr>
              <w:t>14-14.25 GHz</w:t>
            </w:r>
          </w:p>
        </w:tc>
        <w:tc>
          <w:tcPr>
            <w:tcW w:w="4849" w:type="dxa"/>
          </w:tcPr>
          <w:p w:rsidR="008208CE" w:rsidRPr="006905BC" w:rsidRDefault="008208CE" w:rsidP="00511B8F">
            <w:pPr>
              <w:pStyle w:val="Tabletext"/>
            </w:pPr>
            <w:r w:rsidRPr="006905BC">
              <w:rPr>
                <w:color w:val="000000"/>
              </w:rPr>
              <w:t>Countries listed in No. </w:t>
            </w:r>
            <w:r w:rsidRPr="006905BC">
              <w:rPr>
                <w:rStyle w:val="Artref"/>
                <w:b/>
                <w:color w:val="000000"/>
              </w:rPr>
              <w:t>5.505</w:t>
            </w:r>
            <w:r w:rsidRPr="006905BC">
              <w:rPr>
                <w:color w:val="000000"/>
              </w:rPr>
              <w:t>, except those listed in No. </w:t>
            </w:r>
            <w:r w:rsidRPr="006905BC">
              <w:rPr>
                <w:rStyle w:val="Artref"/>
                <w:b/>
                <w:color w:val="000000"/>
              </w:rPr>
              <w:t>5.506B</w:t>
            </w:r>
          </w:p>
        </w:tc>
      </w:tr>
      <w:tr w:rsidR="008208CE" w:rsidRPr="006905BC" w:rsidTr="00511B8F">
        <w:trPr>
          <w:jc w:val="center"/>
        </w:trPr>
        <w:tc>
          <w:tcPr>
            <w:tcW w:w="2195" w:type="dxa"/>
          </w:tcPr>
          <w:p w:rsidR="008208CE" w:rsidRPr="006905BC" w:rsidRDefault="008208CE" w:rsidP="00511B8F">
            <w:pPr>
              <w:pStyle w:val="Tabletext"/>
            </w:pPr>
            <w:r w:rsidRPr="006905BC">
              <w:rPr>
                <w:color w:val="000000"/>
              </w:rPr>
              <w:t>14.25-14.3 GHz</w:t>
            </w:r>
          </w:p>
        </w:tc>
        <w:tc>
          <w:tcPr>
            <w:tcW w:w="4849" w:type="dxa"/>
          </w:tcPr>
          <w:p w:rsidR="008208CE" w:rsidRDefault="008208CE" w:rsidP="00511B8F">
            <w:pPr>
              <w:pStyle w:val="Tabletext"/>
            </w:pPr>
            <w:r w:rsidRPr="006905BC">
              <w:rPr>
                <w:color w:val="000000"/>
              </w:rPr>
              <w:t>Countries listed in Nos. </w:t>
            </w:r>
            <w:r w:rsidRPr="006905BC">
              <w:rPr>
                <w:rStyle w:val="Artref"/>
                <w:b/>
                <w:color w:val="000000"/>
              </w:rPr>
              <w:t>5.505</w:t>
            </w:r>
            <w:del w:id="51" w:author="Onanong P. Sa-nguantongalya" w:date="2015-09-01T13:57:00Z">
              <w:r w:rsidRPr="006905BC" w:rsidDel="009A14A2">
                <w:rPr>
                  <w:color w:val="000000"/>
                </w:rPr>
                <w:delText>,</w:delText>
              </w:r>
            </w:del>
            <w:r w:rsidRPr="006905BC">
              <w:rPr>
                <w:b/>
                <w:color w:val="000000"/>
              </w:rPr>
              <w:t xml:space="preserve"> </w:t>
            </w:r>
            <w:ins w:id="52" w:author="Onanong P. Sa-nguantongalya" w:date="2015-09-01T13:57:00Z">
              <w:r w:rsidRPr="00B200A1">
                <w:rPr>
                  <w:bCs/>
                  <w:color w:val="000000"/>
                  <w:rPrChange w:id="53" w:author="Onanong P. Sa-nguantongalya" w:date="2015-09-01T13:58:00Z">
                    <w:rPr>
                      <w:b/>
                      <w:color w:val="000000"/>
                    </w:rPr>
                  </w:rPrChange>
                </w:rPr>
                <w:t>and</w:t>
              </w:r>
              <w:r>
                <w:rPr>
                  <w:b/>
                  <w:color w:val="000000"/>
                </w:rPr>
                <w:t xml:space="preserve"> </w:t>
              </w:r>
            </w:ins>
            <w:r w:rsidRPr="006905BC">
              <w:rPr>
                <w:rStyle w:val="Artref"/>
                <w:b/>
                <w:color w:val="000000"/>
              </w:rPr>
              <w:t>5.508</w:t>
            </w:r>
            <w:r w:rsidRPr="006905BC">
              <w:rPr>
                <w:color w:val="000000"/>
              </w:rPr>
              <w:t xml:space="preserve"> </w:t>
            </w:r>
            <w:del w:id="54" w:author="Onanong P. Sa-nguantongalya" w:date="2015-09-01T13:57:00Z">
              <w:r w:rsidRPr="006905BC" w:rsidDel="009A14A2">
                <w:rPr>
                  <w:color w:val="000000"/>
                </w:rPr>
                <w:delText>and </w:delText>
              </w:r>
              <w:r w:rsidRPr="006905BC" w:rsidDel="009A14A2">
                <w:rPr>
                  <w:rStyle w:val="Artref"/>
                  <w:b/>
                  <w:color w:val="000000"/>
                </w:rPr>
                <w:delText>5.509</w:delText>
              </w:r>
              <w:r w:rsidRPr="006905BC" w:rsidDel="009A14A2">
                <w:rPr>
                  <w:color w:val="000000"/>
                </w:rPr>
                <w:delText>,</w:delText>
              </w:r>
            </w:del>
            <w:r w:rsidRPr="006905BC">
              <w:rPr>
                <w:color w:val="000000"/>
              </w:rPr>
              <w:t xml:space="preserve"> except those listed in No. </w:t>
            </w:r>
            <w:r w:rsidRPr="006905BC">
              <w:rPr>
                <w:rStyle w:val="Artref"/>
                <w:b/>
                <w:color w:val="000000"/>
              </w:rPr>
              <w:t>5.506B</w:t>
            </w:r>
          </w:p>
        </w:tc>
      </w:tr>
      <w:tr w:rsidR="008208CE" w:rsidRPr="006905BC" w:rsidTr="00511B8F">
        <w:trPr>
          <w:jc w:val="center"/>
        </w:trPr>
        <w:tc>
          <w:tcPr>
            <w:tcW w:w="2195" w:type="dxa"/>
          </w:tcPr>
          <w:p w:rsidR="008208CE" w:rsidRPr="006905BC" w:rsidRDefault="008208CE" w:rsidP="00511B8F">
            <w:pPr>
              <w:pStyle w:val="Tabletext"/>
            </w:pPr>
            <w:r w:rsidRPr="006905BC">
              <w:rPr>
                <w:color w:val="000000"/>
              </w:rPr>
              <w:t>14.3-14.4 GHz</w:t>
            </w:r>
          </w:p>
        </w:tc>
        <w:tc>
          <w:tcPr>
            <w:tcW w:w="4849" w:type="dxa"/>
          </w:tcPr>
          <w:p w:rsidR="008208CE" w:rsidRPr="006905BC" w:rsidRDefault="008208CE" w:rsidP="00511B8F">
            <w:pPr>
              <w:pStyle w:val="Tabletext"/>
            </w:pPr>
            <w:r w:rsidRPr="006905BC">
              <w:rPr>
                <w:color w:val="000000"/>
              </w:rPr>
              <w:t>Regions 1 and 3, except countries listed in No. </w:t>
            </w:r>
            <w:r w:rsidRPr="006905BC">
              <w:rPr>
                <w:rStyle w:val="Artref"/>
                <w:b/>
                <w:color w:val="000000"/>
              </w:rPr>
              <w:t>5.506B</w:t>
            </w:r>
          </w:p>
        </w:tc>
      </w:tr>
      <w:tr w:rsidR="008208CE" w:rsidRPr="006905BC" w:rsidTr="00511B8F">
        <w:trPr>
          <w:jc w:val="center"/>
        </w:trPr>
        <w:tc>
          <w:tcPr>
            <w:tcW w:w="2195" w:type="dxa"/>
          </w:tcPr>
          <w:p w:rsidR="008208CE" w:rsidRPr="006905BC" w:rsidRDefault="008208CE" w:rsidP="00511B8F">
            <w:pPr>
              <w:pStyle w:val="Tabletext"/>
            </w:pPr>
            <w:r w:rsidRPr="006905BC">
              <w:rPr>
                <w:color w:val="000000"/>
              </w:rPr>
              <w:t>14.4-14.5 GHz</w:t>
            </w:r>
          </w:p>
        </w:tc>
        <w:tc>
          <w:tcPr>
            <w:tcW w:w="4849" w:type="dxa"/>
          </w:tcPr>
          <w:p w:rsidR="008208CE" w:rsidRPr="006905BC" w:rsidRDefault="008208CE" w:rsidP="00511B8F">
            <w:pPr>
              <w:pStyle w:val="Tabletext"/>
            </w:pPr>
            <w:r w:rsidRPr="006905BC">
              <w:rPr>
                <w:color w:val="000000"/>
              </w:rPr>
              <w:t>All three Regions, except countries listed in No. </w:t>
            </w:r>
            <w:r w:rsidRPr="006905BC">
              <w:rPr>
                <w:rStyle w:val="Artref"/>
                <w:b/>
                <w:color w:val="000000"/>
              </w:rPr>
              <w:t>5.506B</w:t>
            </w:r>
          </w:p>
        </w:tc>
      </w:tr>
    </w:tbl>
    <w:p w:rsidR="008208CE" w:rsidRPr="006905BC" w:rsidRDefault="008208CE" w:rsidP="008208CE">
      <w:r w:rsidRPr="006905BC">
        <w:rPr>
          <w:color w:val="000000"/>
        </w:rPr>
        <w:t>6</w:t>
      </w:r>
      <w:r w:rsidRPr="006905BC">
        <w:rPr>
          <w:color w:val="000000"/>
        </w:rPr>
        <w:tab/>
        <w:t>The ESV system shall include means of identification and mechanisms to immediately cease emissions, whenever the station does not operate in compliance with the provisions of items 2 and 4 above.</w:t>
      </w:r>
    </w:p>
    <w:p w:rsidR="008208CE" w:rsidRPr="006905BC" w:rsidRDefault="008208CE" w:rsidP="008208CE">
      <w:r w:rsidRPr="006905BC">
        <w:rPr>
          <w:color w:val="000000"/>
        </w:rPr>
        <w:t>7</w:t>
      </w:r>
      <w:r w:rsidRPr="006905BC">
        <w:rPr>
          <w:color w:val="000000"/>
        </w:rPr>
        <w:tab/>
        <w:t>Cessation of emissions as referred to in item 6 above shall be implemented in such a way that the corresponding mechanisms cannot be bypassed on board the vessel, except under the provisions of No. </w:t>
      </w:r>
      <w:r w:rsidRPr="006905BC">
        <w:rPr>
          <w:rStyle w:val="Artref"/>
          <w:b/>
          <w:bCs/>
          <w:color w:val="000000"/>
        </w:rPr>
        <w:t>4.9</w:t>
      </w:r>
      <w:r w:rsidRPr="006905BC">
        <w:rPr>
          <w:color w:val="000000"/>
        </w:rPr>
        <w:t>.</w:t>
      </w:r>
    </w:p>
    <w:p w:rsidR="008208CE" w:rsidRPr="006905BC" w:rsidRDefault="008208CE" w:rsidP="008208CE">
      <w:r w:rsidRPr="006905BC">
        <w:t>8</w:t>
      </w:r>
      <w:r w:rsidRPr="006905BC">
        <w:tab/>
        <w:t>ESVs shall be equipped so as to:</w:t>
      </w:r>
    </w:p>
    <w:p w:rsidR="008208CE" w:rsidRPr="006905BC" w:rsidRDefault="008208CE" w:rsidP="008208CE">
      <w:pPr>
        <w:pStyle w:val="enumlev1"/>
      </w:pPr>
      <w:r w:rsidRPr="006905BC">
        <w:t>–</w:t>
      </w:r>
      <w:r w:rsidRPr="006905BC">
        <w:tab/>
        <w:t>enable the licensing administration under the provisions of Article </w:t>
      </w:r>
      <w:r w:rsidRPr="006905BC">
        <w:rPr>
          <w:rStyle w:val="Artref"/>
          <w:b/>
          <w:bCs/>
          <w:color w:val="000000"/>
        </w:rPr>
        <w:t>18</w:t>
      </w:r>
      <w:r w:rsidRPr="006905BC">
        <w:t xml:space="preserve"> to verify earth station performance; and</w:t>
      </w:r>
    </w:p>
    <w:p w:rsidR="008208CE" w:rsidRPr="006905BC" w:rsidRDefault="008208CE" w:rsidP="008208CE">
      <w:pPr>
        <w:pStyle w:val="enumlev1"/>
      </w:pPr>
      <w:r w:rsidRPr="006905BC">
        <w:t>–</w:t>
      </w:r>
      <w:r w:rsidRPr="006905BC">
        <w:tab/>
        <w:t>enable the cessation of ESV emissions immediately upon request by an administration whose services may be affected.</w:t>
      </w:r>
    </w:p>
    <w:p w:rsidR="008208CE" w:rsidRPr="006905BC" w:rsidRDefault="008208CE" w:rsidP="008208CE">
      <w:r w:rsidRPr="006905BC">
        <w:rPr>
          <w:color w:val="000000"/>
        </w:rPr>
        <w:t>9</w:t>
      </w:r>
      <w:r w:rsidRPr="006905BC">
        <w:rPr>
          <w:color w:val="000000"/>
        </w:rPr>
        <w:tab/>
        <w:t>Each licence-holder shall provide a point of contact to the administration with which agreements have been reached for the purpose of reporting unacceptable interference caused by the ESV.</w:t>
      </w:r>
    </w:p>
    <w:p w:rsidR="008208CE" w:rsidRPr="006905BC" w:rsidRDefault="008208CE" w:rsidP="008208CE">
      <w:r w:rsidRPr="006905BC">
        <w:t>10</w:t>
      </w:r>
      <w:r w:rsidRPr="006905BC">
        <w:tab/>
        <w:t>When ESVs operating beyond the territorial sea but within the minimum distance (as referred to in item 4 above) fail to comply with the terms required by the concerned administration pursuant to items 2 and 4, then that administration may:</w:t>
      </w:r>
    </w:p>
    <w:p w:rsidR="008208CE" w:rsidRPr="006905BC" w:rsidRDefault="008208CE" w:rsidP="008208CE">
      <w:pPr>
        <w:pStyle w:val="enumlev1"/>
      </w:pPr>
      <w:r w:rsidRPr="006905BC">
        <w:t>–</w:t>
      </w:r>
      <w:r w:rsidRPr="006905BC">
        <w:tab/>
        <w:t>request the ESV to comply with such terms or cease operation immediately; or</w:t>
      </w:r>
    </w:p>
    <w:p w:rsidR="008208CE" w:rsidRDefault="008208CE" w:rsidP="008208CE">
      <w:pPr>
        <w:pStyle w:val="enumlev1"/>
        <w:rPr>
          <w:ins w:id="55" w:author="Onanong P. Sa-nguantongalya" w:date="2015-09-01T14:21:00Z"/>
        </w:rPr>
      </w:pPr>
      <w:r w:rsidRPr="006905BC">
        <w:t>–</w:t>
      </w:r>
      <w:r w:rsidRPr="006905BC">
        <w:tab/>
        <w:t>request the licensing administration to require such compliance or immediate cessation of the operation.</w:t>
      </w:r>
    </w:p>
    <w:p w:rsidR="008208CE" w:rsidRDefault="008208CE">
      <w:pPr>
        <w:pStyle w:val="TableNo"/>
        <w:rPr>
          <w:ins w:id="56" w:author="Onanong P. Sa-nguantongalya" w:date="2015-09-01T14:17:00Z"/>
        </w:rPr>
        <w:pPrChange w:id="57" w:author="Onanong P. Sa-nguantongalya" w:date="2015-09-01T14:19:00Z">
          <w:pPr>
            <w:pStyle w:val="enumlev1"/>
          </w:pPr>
        </w:pPrChange>
      </w:pPr>
      <w:ins w:id="58" w:author="Onanong P. Sa-nguantongalya" w:date="2015-09-01T14:21:00Z">
        <w:r>
          <w:br w:type="page"/>
        </w:r>
      </w:ins>
      <w:ins w:id="59" w:author="Onanong P. Sa-nguantongalya" w:date="2015-09-01T14:17:00Z">
        <w:r>
          <w:lastRenderedPageBreak/>
          <w:t>Table 1</w:t>
        </w:r>
      </w:ins>
    </w:p>
    <w:p w:rsidR="008208CE" w:rsidRDefault="008208CE">
      <w:pPr>
        <w:pStyle w:val="Tabletitle"/>
        <w:rPr>
          <w:ins w:id="60" w:author="Onanong P. Sa-nguantongalya" w:date="2015-09-01T14:17:00Z"/>
        </w:rPr>
        <w:pPrChange w:id="61" w:author="Onanong P. Sa-nguantongalya" w:date="2015-09-01T14:19:00Z">
          <w:pPr>
            <w:pStyle w:val="enumlev1"/>
          </w:pPr>
        </w:pPrChange>
      </w:pPr>
      <w:ins w:id="62" w:author="Onanong P. Sa-nguantongalya" w:date="2015-09-01T14:17:00Z">
        <w:r>
          <w:t>Values for the 5 925-6 425 MHz band ESVs</w:t>
        </w:r>
      </w:ins>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324"/>
      </w:tblGrid>
      <w:tr w:rsidR="008208CE" w:rsidTr="00511B8F">
        <w:trPr>
          <w:ins w:id="63" w:author="Onanong P. Sa-nguantongalya" w:date="2015-09-01T14:17:00Z"/>
        </w:trPr>
        <w:tc>
          <w:tcPr>
            <w:tcW w:w="5216" w:type="dxa"/>
          </w:tcPr>
          <w:p w:rsidR="008208CE" w:rsidRDefault="008208CE">
            <w:pPr>
              <w:pStyle w:val="Tablehead"/>
              <w:rPr>
                <w:ins w:id="64" w:author="Onanong P. Sa-nguantongalya" w:date="2015-09-01T14:17:00Z"/>
              </w:rPr>
              <w:pPrChange w:id="65" w:author="Bonnici, Adrienne" w:date="2015-10-19T11:57:00Z">
                <w:pPr>
                  <w:pStyle w:val="enumlev1"/>
                  <w:ind w:left="0" w:firstLine="0"/>
                  <w:jc w:val="center"/>
                </w:pPr>
              </w:pPrChange>
            </w:pPr>
            <w:ins w:id="66" w:author="Onanong P. Sa-nguantongalya" w:date="2015-09-01T14:17:00Z">
              <w:r>
                <w:t>Maximum e.i.r.p. transmitted toward the horizon (dBW in  11.2 MHz)</w:t>
              </w:r>
            </w:ins>
          </w:p>
        </w:tc>
        <w:tc>
          <w:tcPr>
            <w:tcW w:w="4324" w:type="dxa"/>
          </w:tcPr>
          <w:p w:rsidR="008208CE" w:rsidRDefault="008208CE">
            <w:pPr>
              <w:pStyle w:val="Tablehead"/>
              <w:rPr>
                <w:ins w:id="67" w:author="Onanong P. Sa-nguantongalya" w:date="2015-09-01T14:17:00Z"/>
              </w:rPr>
              <w:pPrChange w:id="68" w:author="Bonnici, Adrienne" w:date="2015-10-19T11:57:00Z">
                <w:pPr>
                  <w:pStyle w:val="enumlev1"/>
                  <w:ind w:left="0" w:firstLine="0"/>
                  <w:jc w:val="center"/>
                </w:pPr>
              </w:pPrChange>
            </w:pPr>
            <w:ins w:id="69" w:author="Onanong P. Sa-nguantongalya" w:date="2015-09-01T14:18:00Z">
              <w:r>
                <w:t>Minimum distance from low-water mark* (km)</w:t>
              </w:r>
            </w:ins>
          </w:p>
        </w:tc>
      </w:tr>
      <w:tr w:rsidR="008208CE" w:rsidTr="00511B8F">
        <w:trPr>
          <w:ins w:id="70" w:author="Onanong P. Sa-nguantongalya" w:date="2015-09-01T14:17:00Z"/>
        </w:trPr>
        <w:tc>
          <w:tcPr>
            <w:tcW w:w="5216" w:type="dxa"/>
          </w:tcPr>
          <w:p w:rsidR="008208CE" w:rsidRDefault="008208CE">
            <w:pPr>
              <w:pStyle w:val="Tabletext"/>
              <w:jc w:val="center"/>
              <w:rPr>
                <w:ins w:id="71" w:author="Onanong P. Sa-nguantongalya" w:date="2015-09-01T14:17:00Z"/>
              </w:rPr>
              <w:pPrChange w:id="72" w:author="Bonnici, Adrienne" w:date="2015-10-19T11:57:00Z">
                <w:pPr>
                  <w:pStyle w:val="enumlev1"/>
                  <w:ind w:left="0" w:firstLine="0"/>
                  <w:jc w:val="center"/>
                </w:pPr>
              </w:pPrChange>
            </w:pPr>
            <w:ins w:id="73" w:author="Onanong P. Sa-nguantongalya" w:date="2015-09-01T14:18:00Z">
              <w:r>
                <w:t>20.8</w:t>
              </w:r>
            </w:ins>
          </w:p>
        </w:tc>
        <w:tc>
          <w:tcPr>
            <w:tcW w:w="4324" w:type="dxa"/>
          </w:tcPr>
          <w:p w:rsidR="008208CE" w:rsidRDefault="008208CE">
            <w:pPr>
              <w:pStyle w:val="Tabletext"/>
              <w:jc w:val="center"/>
              <w:rPr>
                <w:ins w:id="74" w:author="Onanong P. Sa-nguantongalya" w:date="2015-09-01T14:17:00Z"/>
              </w:rPr>
              <w:pPrChange w:id="75" w:author="Bonnici, Adrienne" w:date="2015-10-19T11:57:00Z">
                <w:pPr>
                  <w:pStyle w:val="enumlev1"/>
                  <w:ind w:left="0" w:firstLine="0"/>
                  <w:jc w:val="center"/>
                </w:pPr>
              </w:pPrChange>
            </w:pPr>
            <w:ins w:id="76" w:author="Onanong P. Sa-nguantongalya" w:date="2015-09-01T14:19:00Z">
              <w:r>
                <w:t>323</w:t>
              </w:r>
            </w:ins>
          </w:p>
        </w:tc>
      </w:tr>
      <w:tr w:rsidR="008208CE" w:rsidTr="00511B8F">
        <w:trPr>
          <w:ins w:id="77" w:author="Onanong P. Sa-nguantongalya" w:date="2015-09-01T14:17:00Z"/>
        </w:trPr>
        <w:tc>
          <w:tcPr>
            <w:tcW w:w="5216" w:type="dxa"/>
          </w:tcPr>
          <w:p w:rsidR="008208CE" w:rsidRDefault="008208CE">
            <w:pPr>
              <w:pStyle w:val="Tabletext"/>
              <w:jc w:val="center"/>
              <w:rPr>
                <w:ins w:id="78" w:author="Onanong P. Sa-nguantongalya" w:date="2015-09-01T14:17:00Z"/>
              </w:rPr>
              <w:pPrChange w:id="79" w:author="Bonnici, Adrienne" w:date="2015-10-19T11:57:00Z">
                <w:pPr>
                  <w:pStyle w:val="enumlev1"/>
                  <w:ind w:left="0" w:firstLine="0"/>
                  <w:jc w:val="center"/>
                </w:pPr>
              </w:pPrChange>
            </w:pPr>
            <w:ins w:id="80" w:author="Onanong P. Sa-nguantongalya" w:date="2015-09-01T14:18:00Z">
              <w:r>
                <w:t>10.8</w:t>
              </w:r>
            </w:ins>
          </w:p>
        </w:tc>
        <w:tc>
          <w:tcPr>
            <w:tcW w:w="4324" w:type="dxa"/>
          </w:tcPr>
          <w:p w:rsidR="008208CE" w:rsidRDefault="008208CE">
            <w:pPr>
              <w:pStyle w:val="Tabletext"/>
              <w:jc w:val="center"/>
              <w:rPr>
                <w:ins w:id="81" w:author="Onanong P. Sa-nguantongalya" w:date="2015-09-01T14:17:00Z"/>
              </w:rPr>
              <w:pPrChange w:id="82" w:author="Bonnici, Adrienne" w:date="2015-10-19T11:57:00Z">
                <w:pPr>
                  <w:pStyle w:val="enumlev1"/>
                  <w:ind w:left="0" w:firstLine="0"/>
                  <w:jc w:val="center"/>
                </w:pPr>
              </w:pPrChange>
            </w:pPr>
            <w:ins w:id="83" w:author="Onanong P. Sa-nguantongalya" w:date="2015-09-01T14:19:00Z">
              <w:r>
                <w:t>227</w:t>
              </w:r>
            </w:ins>
          </w:p>
        </w:tc>
      </w:tr>
      <w:tr w:rsidR="008208CE" w:rsidTr="00511B8F">
        <w:trPr>
          <w:ins w:id="84" w:author="Onanong P. Sa-nguantongalya" w:date="2015-09-01T14:17:00Z"/>
        </w:trPr>
        <w:tc>
          <w:tcPr>
            <w:tcW w:w="5216" w:type="dxa"/>
          </w:tcPr>
          <w:p w:rsidR="008208CE" w:rsidRDefault="008208CE">
            <w:pPr>
              <w:pStyle w:val="Tabletext"/>
              <w:jc w:val="center"/>
              <w:rPr>
                <w:ins w:id="85" w:author="Onanong P. Sa-nguantongalya" w:date="2015-09-01T14:17:00Z"/>
              </w:rPr>
              <w:pPrChange w:id="86" w:author="Bonnici, Adrienne" w:date="2015-10-19T11:57:00Z">
                <w:pPr>
                  <w:pStyle w:val="enumlev1"/>
                  <w:ind w:left="0" w:firstLine="0"/>
                  <w:jc w:val="center"/>
                </w:pPr>
              </w:pPrChange>
            </w:pPr>
            <w:ins w:id="87" w:author="Onanong P. Sa-nguantongalya" w:date="2015-09-01T14:18:00Z">
              <w:r>
                <w:t>0.8</w:t>
              </w:r>
            </w:ins>
          </w:p>
        </w:tc>
        <w:tc>
          <w:tcPr>
            <w:tcW w:w="4324" w:type="dxa"/>
          </w:tcPr>
          <w:p w:rsidR="008208CE" w:rsidRDefault="008208CE">
            <w:pPr>
              <w:pStyle w:val="Tabletext"/>
              <w:jc w:val="center"/>
              <w:rPr>
                <w:ins w:id="88" w:author="Onanong P. Sa-nguantongalya" w:date="2015-09-01T14:17:00Z"/>
              </w:rPr>
              <w:pPrChange w:id="89" w:author="Bonnici, Adrienne" w:date="2015-10-19T11:57:00Z">
                <w:pPr>
                  <w:pStyle w:val="enumlev1"/>
                  <w:ind w:left="0" w:firstLine="0"/>
                  <w:jc w:val="center"/>
                </w:pPr>
              </w:pPrChange>
            </w:pPr>
            <w:ins w:id="90" w:author="Onanong P. Sa-nguantongalya" w:date="2015-09-01T14:19:00Z">
              <w:r>
                <w:t>130</w:t>
              </w:r>
            </w:ins>
          </w:p>
        </w:tc>
      </w:tr>
      <w:tr w:rsidR="008208CE" w:rsidTr="00511B8F">
        <w:trPr>
          <w:ins w:id="91" w:author="Onanong P. Sa-nguantongalya" w:date="2015-09-01T14:17:00Z"/>
        </w:trPr>
        <w:tc>
          <w:tcPr>
            <w:tcW w:w="5216" w:type="dxa"/>
          </w:tcPr>
          <w:p w:rsidR="008208CE" w:rsidRDefault="008208CE">
            <w:pPr>
              <w:pStyle w:val="Tabletext"/>
              <w:jc w:val="center"/>
              <w:rPr>
                <w:ins w:id="92" w:author="Onanong P. Sa-nguantongalya" w:date="2015-09-01T14:17:00Z"/>
              </w:rPr>
              <w:pPrChange w:id="93" w:author="Bonnici, Adrienne" w:date="2015-10-19T11:57:00Z">
                <w:pPr>
                  <w:pStyle w:val="enumlev1"/>
                  <w:ind w:left="0" w:firstLine="0"/>
                  <w:jc w:val="center"/>
                </w:pPr>
              </w:pPrChange>
            </w:pPr>
            <w:ins w:id="94" w:author="Onanong P. Sa-nguantongalya" w:date="2015-09-01T14:18:00Z">
              <w:r>
                <w:t>-9.2</w:t>
              </w:r>
            </w:ins>
          </w:p>
        </w:tc>
        <w:tc>
          <w:tcPr>
            <w:tcW w:w="4324" w:type="dxa"/>
          </w:tcPr>
          <w:p w:rsidR="008208CE" w:rsidRDefault="008208CE">
            <w:pPr>
              <w:pStyle w:val="Tabletext"/>
              <w:jc w:val="center"/>
              <w:rPr>
                <w:ins w:id="95" w:author="Onanong P. Sa-nguantongalya" w:date="2015-09-01T14:17:00Z"/>
              </w:rPr>
              <w:pPrChange w:id="96" w:author="Bonnici, Adrienne" w:date="2015-10-19T11:57:00Z">
                <w:pPr>
                  <w:pStyle w:val="enumlev1"/>
                  <w:ind w:left="0" w:firstLine="0"/>
                  <w:jc w:val="center"/>
                </w:pPr>
              </w:pPrChange>
            </w:pPr>
            <w:ins w:id="97" w:author="Onanong P. Sa-nguantongalya" w:date="2015-09-01T14:19:00Z">
              <w:r>
                <w:t>64</w:t>
              </w:r>
            </w:ins>
          </w:p>
        </w:tc>
      </w:tr>
    </w:tbl>
    <w:p w:rsidR="008208CE" w:rsidRPr="00775083" w:rsidRDefault="008208CE">
      <w:pPr>
        <w:pStyle w:val="enumlev1"/>
        <w:numPr>
          <w:ilvl w:val="0"/>
          <w:numId w:val="4"/>
        </w:numPr>
        <w:rPr>
          <w:ins w:id="98" w:author="Onanong P. Sa-nguantongalya" w:date="2015-09-01T14:19:00Z"/>
          <w:sz w:val="20"/>
          <w:rPrChange w:id="99" w:author="Bonnici, Adrienne" w:date="2015-10-19T11:58:00Z">
            <w:rPr>
              <w:ins w:id="100" w:author="Onanong P. Sa-nguantongalya" w:date="2015-09-01T14:19:00Z"/>
            </w:rPr>
          </w:rPrChange>
        </w:rPr>
        <w:pPrChange w:id="101" w:author="Onanong P. Sa-nguantongalya" w:date="2015-09-01T14:19:00Z">
          <w:pPr>
            <w:pStyle w:val="enumlev1"/>
          </w:pPr>
        </w:pPrChange>
      </w:pPr>
      <w:ins w:id="102" w:author="Onanong P. Sa-nguantongalya" w:date="2015-09-01T14:19:00Z">
        <w:r w:rsidRPr="00775083">
          <w:rPr>
            <w:sz w:val="20"/>
            <w:rPrChange w:id="103" w:author="Bonnici, Adrienne" w:date="2015-10-19T11:58:00Z">
              <w:rPr/>
            </w:rPrChange>
          </w:rPr>
          <w:t>Low-water mark as officially recognized by the coastal State.</w:t>
        </w:r>
      </w:ins>
    </w:p>
    <w:p w:rsidR="008208CE" w:rsidRDefault="008208CE" w:rsidP="008208CE">
      <w:pPr>
        <w:pStyle w:val="TableNo"/>
        <w:rPr>
          <w:ins w:id="104" w:author="Onanong P. Sa-nguantongalya" w:date="2015-09-01T14:20:00Z"/>
        </w:rPr>
      </w:pPr>
      <w:ins w:id="105" w:author="Onanong P. Sa-nguantongalya" w:date="2015-09-01T14:20:00Z">
        <w:r>
          <w:t>Table 2</w:t>
        </w:r>
      </w:ins>
    </w:p>
    <w:p w:rsidR="008208CE" w:rsidRDefault="008208CE" w:rsidP="008208CE">
      <w:pPr>
        <w:pStyle w:val="Tabletitle"/>
        <w:rPr>
          <w:ins w:id="106" w:author="Onanong P. Sa-nguantongalya" w:date="2015-09-01T14:20:00Z"/>
        </w:rPr>
      </w:pPr>
      <w:ins w:id="107" w:author="Onanong P. Sa-nguantongalya" w:date="2015-09-01T14:20:00Z">
        <w:r>
          <w:t>Values for the 14-14.5 GHz band ESVs</w:t>
        </w:r>
      </w:ins>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324"/>
      </w:tblGrid>
      <w:tr w:rsidR="008208CE" w:rsidTr="00511B8F">
        <w:trPr>
          <w:ins w:id="108" w:author="Onanong P. Sa-nguantongalya" w:date="2015-09-01T14:20:00Z"/>
        </w:trPr>
        <w:tc>
          <w:tcPr>
            <w:tcW w:w="5216" w:type="dxa"/>
          </w:tcPr>
          <w:p w:rsidR="008208CE" w:rsidRDefault="008208CE">
            <w:pPr>
              <w:pStyle w:val="Tablehead"/>
              <w:rPr>
                <w:ins w:id="109" w:author="Onanong P. Sa-nguantongalya" w:date="2015-09-01T14:20:00Z"/>
              </w:rPr>
              <w:pPrChange w:id="110" w:author="Bonnici, Adrienne" w:date="2015-10-19T11:57:00Z">
                <w:pPr>
                  <w:pStyle w:val="enumlev1"/>
                  <w:ind w:left="0" w:firstLine="0"/>
                  <w:jc w:val="center"/>
                </w:pPr>
              </w:pPrChange>
            </w:pPr>
            <w:ins w:id="111" w:author="Onanong P. Sa-nguantongalya" w:date="2015-09-01T14:20:00Z">
              <w:r>
                <w:t>Maximum e.i.r.p. transmitted toward the horizon (dBW in  14 MHz)</w:t>
              </w:r>
            </w:ins>
          </w:p>
        </w:tc>
        <w:tc>
          <w:tcPr>
            <w:tcW w:w="4324" w:type="dxa"/>
          </w:tcPr>
          <w:p w:rsidR="008208CE" w:rsidRDefault="008208CE">
            <w:pPr>
              <w:pStyle w:val="Tablehead"/>
              <w:rPr>
                <w:ins w:id="112" w:author="Onanong P. Sa-nguantongalya" w:date="2015-09-01T14:20:00Z"/>
              </w:rPr>
              <w:pPrChange w:id="113" w:author="Bonnici, Adrienne" w:date="2015-10-19T11:57:00Z">
                <w:pPr>
                  <w:pStyle w:val="enumlev1"/>
                  <w:ind w:left="0" w:firstLine="0"/>
                  <w:jc w:val="center"/>
                </w:pPr>
              </w:pPrChange>
            </w:pPr>
            <w:ins w:id="114" w:author="Onanong P. Sa-nguantongalya" w:date="2015-09-01T14:20:00Z">
              <w:r>
                <w:t>Minimum distance from low-water mark* (km)</w:t>
              </w:r>
            </w:ins>
          </w:p>
        </w:tc>
      </w:tr>
      <w:tr w:rsidR="008208CE" w:rsidTr="00511B8F">
        <w:trPr>
          <w:ins w:id="115" w:author="Onanong P. Sa-nguantongalya" w:date="2015-09-01T14:20:00Z"/>
        </w:trPr>
        <w:tc>
          <w:tcPr>
            <w:tcW w:w="5216" w:type="dxa"/>
          </w:tcPr>
          <w:p w:rsidR="008208CE" w:rsidRDefault="008208CE">
            <w:pPr>
              <w:pStyle w:val="Tabletext"/>
              <w:jc w:val="center"/>
              <w:rPr>
                <w:ins w:id="116" w:author="Onanong P. Sa-nguantongalya" w:date="2015-09-01T14:20:00Z"/>
              </w:rPr>
              <w:pPrChange w:id="117" w:author="Bonnici, Adrienne" w:date="2015-10-19T11:57:00Z">
                <w:pPr>
                  <w:pStyle w:val="enumlev1"/>
                  <w:ind w:left="0" w:firstLine="0"/>
                  <w:jc w:val="center"/>
                </w:pPr>
              </w:pPrChange>
            </w:pPr>
            <w:ins w:id="118" w:author="Onanong P. Sa-nguantongalya" w:date="2015-09-01T14:21:00Z">
              <w:r>
                <w:t>16.3</w:t>
              </w:r>
            </w:ins>
          </w:p>
        </w:tc>
        <w:tc>
          <w:tcPr>
            <w:tcW w:w="4324" w:type="dxa"/>
          </w:tcPr>
          <w:p w:rsidR="008208CE" w:rsidRDefault="008208CE">
            <w:pPr>
              <w:pStyle w:val="Tabletext"/>
              <w:jc w:val="center"/>
              <w:rPr>
                <w:ins w:id="119" w:author="Onanong P. Sa-nguantongalya" w:date="2015-09-01T14:20:00Z"/>
              </w:rPr>
              <w:pPrChange w:id="120" w:author="Bonnici, Adrienne" w:date="2015-10-19T11:57:00Z">
                <w:pPr>
                  <w:pStyle w:val="enumlev1"/>
                  <w:ind w:left="0" w:firstLine="0"/>
                  <w:jc w:val="center"/>
                </w:pPr>
              </w:pPrChange>
            </w:pPr>
            <w:ins w:id="121" w:author="Onanong P. Sa-nguantongalya" w:date="2015-09-01T14:21:00Z">
              <w:r>
                <w:t>125</w:t>
              </w:r>
            </w:ins>
          </w:p>
        </w:tc>
      </w:tr>
      <w:tr w:rsidR="008208CE" w:rsidTr="00511B8F">
        <w:trPr>
          <w:ins w:id="122" w:author="Onanong P. Sa-nguantongalya" w:date="2015-09-01T14:20:00Z"/>
        </w:trPr>
        <w:tc>
          <w:tcPr>
            <w:tcW w:w="5216" w:type="dxa"/>
          </w:tcPr>
          <w:p w:rsidR="008208CE" w:rsidRDefault="008208CE">
            <w:pPr>
              <w:pStyle w:val="Tabletext"/>
              <w:jc w:val="center"/>
              <w:rPr>
                <w:ins w:id="123" w:author="Onanong P. Sa-nguantongalya" w:date="2015-09-01T14:20:00Z"/>
              </w:rPr>
              <w:pPrChange w:id="124" w:author="Bonnici, Adrienne" w:date="2015-10-19T11:57:00Z">
                <w:pPr>
                  <w:pStyle w:val="enumlev1"/>
                  <w:ind w:left="0" w:firstLine="0"/>
                  <w:jc w:val="center"/>
                </w:pPr>
              </w:pPrChange>
            </w:pPr>
            <w:ins w:id="125" w:author="Onanong P. Sa-nguantongalya" w:date="2015-09-01T14:21:00Z">
              <w:r>
                <w:t>6.3</w:t>
              </w:r>
            </w:ins>
          </w:p>
        </w:tc>
        <w:tc>
          <w:tcPr>
            <w:tcW w:w="4324" w:type="dxa"/>
          </w:tcPr>
          <w:p w:rsidR="008208CE" w:rsidRDefault="008208CE">
            <w:pPr>
              <w:pStyle w:val="Tabletext"/>
              <w:jc w:val="center"/>
              <w:rPr>
                <w:ins w:id="126" w:author="Onanong P. Sa-nguantongalya" w:date="2015-09-01T14:20:00Z"/>
              </w:rPr>
              <w:pPrChange w:id="127" w:author="Bonnici, Adrienne" w:date="2015-10-19T11:57:00Z">
                <w:pPr>
                  <w:pStyle w:val="enumlev1"/>
                  <w:ind w:left="0" w:firstLine="0"/>
                  <w:jc w:val="center"/>
                </w:pPr>
              </w:pPrChange>
            </w:pPr>
            <w:ins w:id="128" w:author="Onanong P. Sa-nguantongalya" w:date="2015-09-01T14:21:00Z">
              <w:r>
                <w:t>85</w:t>
              </w:r>
            </w:ins>
          </w:p>
        </w:tc>
      </w:tr>
      <w:tr w:rsidR="008208CE" w:rsidTr="00511B8F">
        <w:trPr>
          <w:ins w:id="129" w:author="Onanong P. Sa-nguantongalya" w:date="2015-09-01T14:20:00Z"/>
        </w:trPr>
        <w:tc>
          <w:tcPr>
            <w:tcW w:w="5216" w:type="dxa"/>
          </w:tcPr>
          <w:p w:rsidR="008208CE" w:rsidRDefault="008208CE">
            <w:pPr>
              <w:pStyle w:val="Tabletext"/>
              <w:jc w:val="center"/>
              <w:rPr>
                <w:ins w:id="130" w:author="Onanong P. Sa-nguantongalya" w:date="2015-09-01T14:20:00Z"/>
              </w:rPr>
              <w:pPrChange w:id="131" w:author="Bonnici, Adrienne" w:date="2015-10-19T11:57:00Z">
                <w:pPr>
                  <w:pStyle w:val="enumlev1"/>
                  <w:ind w:left="0" w:firstLine="0"/>
                  <w:jc w:val="center"/>
                </w:pPr>
              </w:pPrChange>
            </w:pPr>
            <w:ins w:id="132" w:author="Onanong P. Sa-nguantongalya" w:date="2015-09-01T14:21:00Z">
              <w:r>
                <w:t>-3.7</w:t>
              </w:r>
            </w:ins>
          </w:p>
        </w:tc>
        <w:tc>
          <w:tcPr>
            <w:tcW w:w="4324" w:type="dxa"/>
          </w:tcPr>
          <w:p w:rsidR="008208CE" w:rsidRDefault="008208CE">
            <w:pPr>
              <w:pStyle w:val="Tabletext"/>
              <w:jc w:val="center"/>
              <w:rPr>
                <w:ins w:id="133" w:author="Onanong P. Sa-nguantongalya" w:date="2015-09-01T14:20:00Z"/>
              </w:rPr>
              <w:pPrChange w:id="134" w:author="Bonnici, Adrienne" w:date="2015-10-19T11:57:00Z">
                <w:pPr>
                  <w:pStyle w:val="enumlev1"/>
                  <w:ind w:left="0" w:firstLine="0"/>
                  <w:jc w:val="center"/>
                </w:pPr>
              </w:pPrChange>
            </w:pPr>
            <w:ins w:id="135" w:author="Onanong P. Sa-nguantongalya" w:date="2015-09-01T14:21:00Z">
              <w:r>
                <w:t>29</w:t>
              </w:r>
            </w:ins>
          </w:p>
        </w:tc>
      </w:tr>
    </w:tbl>
    <w:p w:rsidR="008208CE" w:rsidRPr="00775083" w:rsidRDefault="008208CE" w:rsidP="008208CE">
      <w:pPr>
        <w:pStyle w:val="enumlev1"/>
        <w:numPr>
          <w:ilvl w:val="0"/>
          <w:numId w:val="4"/>
        </w:numPr>
        <w:rPr>
          <w:ins w:id="136" w:author="Onanong P. Sa-nguantongalya" w:date="2015-09-01T14:20:00Z"/>
          <w:sz w:val="20"/>
          <w:rPrChange w:id="137" w:author="Bonnici, Adrienne" w:date="2015-10-19T11:58:00Z">
            <w:rPr>
              <w:ins w:id="138" w:author="Onanong P. Sa-nguantongalya" w:date="2015-09-01T14:20:00Z"/>
            </w:rPr>
          </w:rPrChange>
        </w:rPr>
      </w:pPr>
      <w:ins w:id="139" w:author="Onanong P. Sa-nguantongalya" w:date="2015-09-01T14:20:00Z">
        <w:r w:rsidRPr="00775083">
          <w:rPr>
            <w:sz w:val="20"/>
            <w:rPrChange w:id="140" w:author="Bonnici, Adrienne" w:date="2015-10-19T11:58:00Z">
              <w:rPr/>
            </w:rPrChange>
          </w:rPr>
          <w:t>Low-water mark as officially recognized by the coastal State.</w:t>
        </w:r>
      </w:ins>
    </w:p>
    <w:p w:rsidR="008208CE" w:rsidRPr="006905BC" w:rsidRDefault="008208CE" w:rsidP="008208CE">
      <w:pPr>
        <w:pStyle w:val="AnnexNo"/>
      </w:pPr>
      <w:r w:rsidRPr="006905BC">
        <w:rPr>
          <w:color w:val="000000"/>
        </w:rPr>
        <w:t>ANNEX 2 TO RESOLUTION 902 (</w:t>
      </w:r>
      <w:ins w:id="141" w:author="Onanong P. Sa-nguantongalya" w:date="2015-09-01T13:59:00Z">
        <w:r>
          <w:rPr>
            <w:color w:val="000000"/>
          </w:rPr>
          <w:t>rev.</w:t>
        </w:r>
      </w:ins>
      <w:r w:rsidRPr="006905BC">
        <w:rPr>
          <w:color w:val="000000"/>
        </w:rPr>
        <w:t>WRC</w:t>
      </w:r>
      <w:r w:rsidRPr="006905BC">
        <w:rPr>
          <w:color w:val="000000"/>
        </w:rPr>
        <w:noBreakHyphen/>
      </w:r>
      <w:del w:id="142" w:author="Onanong P. Sa-nguantongalya" w:date="2015-09-01T13:59:00Z">
        <w:r w:rsidRPr="006905BC" w:rsidDel="005F0417">
          <w:rPr>
            <w:color w:val="000000"/>
          </w:rPr>
          <w:delText>03</w:delText>
        </w:r>
      </w:del>
      <w:ins w:id="143" w:author="Onanong P. Sa-nguantongalya" w:date="2015-09-01T13:59:00Z">
        <w:r>
          <w:rPr>
            <w:color w:val="000000"/>
          </w:rPr>
          <w:t>15</w:t>
        </w:r>
      </w:ins>
      <w:r w:rsidRPr="006905BC">
        <w:rPr>
          <w:color w:val="000000"/>
        </w:rPr>
        <w:t>)</w:t>
      </w:r>
    </w:p>
    <w:p w:rsidR="008208CE" w:rsidRPr="006905BC" w:rsidRDefault="008208CE" w:rsidP="008208CE">
      <w:pPr>
        <w:pStyle w:val="Annextitle"/>
      </w:pPr>
      <w:r w:rsidRPr="006905BC">
        <w:rPr>
          <w:color w:val="000000"/>
        </w:rPr>
        <w:t xml:space="preserve">Technical limitations applicable to ESVs transmitting in the bands </w:t>
      </w:r>
      <w:r w:rsidRPr="006905BC">
        <w:t>5 925</w:t>
      </w:r>
      <w:r w:rsidRPr="006905BC">
        <w:noBreakHyphen/>
        <w:t>6 425 MHz</w:t>
      </w:r>
      <w:r w:rsidRPr="006905BC">
        <w:rPr>
          <w:color w:val="000000"/>
        </w:rPr>
        <w:t xml:space="preserve"> and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296"/>
        <w:gridCol w:w="1843"/>
      </w:tblGrid>
      <w:tr w:rsidR="008208CE" w:rsidRPr="006905BC" w:rsidTr="00511B8F">
        <w:trPr>
          <w:cantSplit/>
          <w:jc w:val="center"/>
        </w:trPr>
        <w:tc>
          <w:tcPr>
            <w:tcW w:w="5220" w:type="dxa"/>
          </w:tcPr>
          <w:p w:rsidR="008208CE" w:rsidRPr="006905BC" w:rsidRDefault="008208CE" w:rsidP="00511B8F">
            <w:pPr>
              <w:pStyle w:val="Tablehead"/>
              <w:keepNext w:val="0"/>
              <w:rPr>
                <w:color w:val="000000"/>
              </w:rPr>
            </w:pPr>
          </w:p>
        </w:tc>
        <w:tc>
          <w:tcPr>
            <w:tcW w:w="2296" w:type="dxa"/>
            <w:tcBorders>
              <w:bottom w:val="single" w:sz="4" w:space="0" w:color="auto"/>
            </w:tcBorders>
          </w:tcPr>
          <w:p w:rsidR="008208CE" w:rsidRPr="006905BC" w:rsidRDefault="008208CE" w:rsidP="00511B8F">
            <w:pPr>
              <w:pStyle w:val="Tablehead"/>
              <w:rPr>
                <w:color w:val="000000"/>
              </w:rPr>
            </w:pPr>
            <w:r w:rsidRPr="006905BC">
              <w:rPr>
                <w:color w:val="000000"/>
              </w:rPr>
              <w:t>5 925-6 425 MHz</w:t>
            </w:r>
          </w:p>
        </w:tc>
        <w:tc>
          <w:tcPr>
            <w:tcW w:w="1843" w:type="dxa"/>
            <w:tcBorders>
              <w:bottom w:val="single" w:sz="4" w:space="0" w:color="auto"/>
            </w:tcBorders>
          </w:tcPr>
          <w:p w:rsidR="008208CE" w:rsidRPr="006905BC" w:rsidRDefault="008208CE" w:rsidP="00511B8F">
            <w:pPr>
              <w:pStyle w:val="Tablehead"/>
              <w:rPr>
                <w:color w:val="000000"/>
              </w:rPr>
            </w:pPr>
            <w:r w:rsidRPr="006905BC">
              <w:rPr>
                <w:color w:val="000000"/>
              </w:rPr>
              <w:t>14-14.5 GHz</w:t>
            </w:r>
          </w:p>
        </w:tc>
      </w:tr>
      <w:tr w:rsidR="008208CE" w:rsidRPr="006905BC" w:rsidTr="00511B8F">
        <w:trPr>
          <w:cantSplit/>
          <w:jc w:val="center"/>
        </w:trPr>
        <w:tc>
          <w:tcPr>
            <w:tcW w:w="5220" w:type="dxa"/>
          </w:tcPr>
          <w:p w:rsidR="008208CE" w:rsidRPr="006905BC" w:rsidRDefault="008208CE" w:rsidP="00511B8F">
            <w:pPr>
              <w:pStyle w:val="Tabletext"/>
            </w:pPr>
            <w:r w:rsidRPr="006905BC">
              <w:rPr>
                <w:color w:val="000000"/>
              </w:rPr>
              <w:t>Minimum diameter of ESV antenna</w:t>
            </w:r>
          </w:p>
        </w:tc>
        <w:tc>
          <w:tcPr>
            <w:tcW w:w="2296" w:type="dxa"/>
          </w:tcPr>
          <w:p w:rsidR="008208CE" w:rsidRDefault="008208CE" w:rsidP="00511B8F">
            <w:pPr>
              <w:pStyle w:val="Tabletext"/>
              <w:jc w:val="center"/>
            </w:pPr>
            <w:ins w:id="144" w:author="Onanong P. Sa-nguantongalya" w:date="2015-09-01T14:00:00Z">
              <w:r>
                <w:rPr>
                  <w:color w:val="000000"/>
                </w:rPr>
                <w:t xml:space="preserve">1.2 </w:t>
              </w:r>
            </w:ins>
            <w:del w:id="145" w:author="Onanong P. Sa-nguantongalya" w:date="2015-09-01T13:59:00Z">
              <w:r w:rsidRPr="006905BC" w:rsidDel="005F0417">
                <w:rPr>
                  <w:color w:val="000000"/>
                </w:rPr>
                <w:delText>2.4</w:delText>
              </w:r>
            </w:del>
            <w:del w:id="146" w:author="Onanong P. Sa-nguantongalya" w:date="2015-09-01T14:00:00Z">
              <w:r w:rsidRPr="006905BC" w:rsidDel="005F0417">
                <w:rPr>
                  <w:color w:val="000000"/>
                </w:rPr>
                <w:delText xml:space="preserve"> </w:delText>
              </w:r>
            </w:del>
            <w:r w:rsidRPr="006905BC">
              <w:rPr>
                <w:color w:val="000000"/>
              </w:rPr>
              <w:t>m</w:t>
            </w:r>
          </w:p>
        </w:tc>
        <w:tc>
          <w:tcPr>
            <w:tcW w:w="1843" w:type="dxa"/>
          </w:tcPr>
          <w:p w:rsidR="008208CE" w:rsidRDefault="008208CE" w:rsidP="00511B8F">
            <w:pPr>
              <w:pStyle w:val="Tabletext"/>
              <w:jc w:val="center"/>
            </w:pPr>
            <w:ins w:id="147" w:author="Onanong P. Sa-nguantongalya" w:date="2015-09-01T14:00:00Z">
              <w:r>
                <w:rPr>
                  <w:color w:val="000000"/>
                </w:rPr>
                <w:t>60 cm</w:t>
              </w:r>
            </w:ins>
            <w:del w:id="148" w:author="Onanong P. Sa-nguantongalya" w:date="2015-09-01T13:59:00Z">
              <w:r w:rsidRPr="006905BC" w:rsidDel="005F0417">
                <w:rPr>
                  <w:color w:val="000000"/>
                </w:rPr>
                <w:delText xml:space="preserve">1.2 </w:delText>
              </w:r>
            </w:del>
            <w:del w:id="149" w:author="Onanong P. Sa-nguantongalya" w:date="2015-09-01T14:00:00Z">
              <w:r w:rsidRPr="006905BC" w:rsidDel="005F0417">
                <w:rPr>
                  <w:color w:val="000000"/>
                </w:rPr>
                <w:delText>m</w:delText>
              </w:r>
              <w:r w:rsidRPr="006905BC" w:rsidDel="005F0417">
                <w:rPr>
                  <w:color w:val="000000"/>
                  <w:vertAlign w:val="superscript"/>
                </w:rPr>
                <w:delText>1</w:delText>
              </w:r>
            </w:del>
          </w:p>
        </w:tc>
      </w:tr>
      <w:tr w:rsidR="008208CE" w:rsidRPr="006905BC" w:rsidTr="00511B8F">
        <w:trPr>
          <w:cantSplit/>
          <w:jc w:val="center"/>
        </w:trPr>
        <w:tc>
          <w:tcPr>
            <w:tcW w:w="5220" w:type="dxa"/>
          </w:tcPr>
          <w:p w:rsidR="008208CE" w:rsidRPr="006905BC" w:rsidRDefault="008208CE" w:rsidP="00511B8F">
            <w:pPr>
              <w:pStyle w:val="Tabletext"/>
            </w:pPr>
            <w:r w:rsidRPr="006905BC">
              <w:rPr>
                <w:color w:val="000000"/>
              </w:rPr>
              <w:t>Tracking accuracy of ESV antenna</w:t>
            </w:r>
          </w:p>
        </w:tc>
        <w:tc>
          <w:tcPr>
            <w:tcW w:w="2296" w:type="dxa"/>
          </w:tcPr>
          <w:p w:rsidR="008208CE" w:rsidRPr="006905BC" w:rsidRDefault="008208CE" w:rsidP="00511B8F">
            <w:pPr>
              <w:pStyle w:val="Tabletext"/>
              <w:jc w:val="center"/>
            </w:pPr>
            <w:r w:rsidRPr="006905BC">
              <w:rPr>
                <w:rFonts w:ascii="Symbol" w:hAnsi="Symbol"/>
                <w:color w:val="000000"/>
              </w:rPr>
              <w:sym w:font="Symbol" w:char="F0B1"/>
            </w:r>
            <w:r w:rsidRPr="006905BC">
              <w:rPr>
                <w:color w:val="000000"/>
              </w:rPr>
              <w:t>0.2</w:t>
            </w:r>
            <w:r w:rsidRPr="006905BC">
              <w:rPr>
                <w:color w:val="000000"/>
              </w:rPr>
              <w:sym w:font="Symbol" w:char="F0B0"/>
            </w:r>
            <w:r w:rsidRPr="006905BC">
              <w:rPr>
                <w:color w:val="000000"/>
              </w:rPr>
              <w:t xml:space="preserve"> (peak)</w:t>
            </w:r>
          </w:p>
        </w:tc>
        <w:tc>
          <w:tcPr>
            <w:tcW w:w="1843" w:type="dxa"/>
          </w:tcPr>
          <w:p w:rsidR="008208CE" w:rsidRPr="006905BC" w:rsidRDefault="008208CE" w:rsidP="00511B8F">
            <w:pPr>
              <w:pStyle w:val="Tabletext"/>
              <w:jc w:val="center"/>
            </w:pPr>
            <w:r w:rsidRPr="006905BC">
              <w:rPr>
                <w:color w:val="000000"/>
              </w:rPr>
              <w:sym w:font="Symbol" w:char="F0B1"/>
            </w:r>
            <w:r w:rsidRPr="006905BC">
              <w:rPr>
                <w:color w:val="000000"/>
              </w:rPr>
              <w:t>0.2</w:t>
            </w:r>
            <w:r w:rsidRPr="006905BC">
              <w:rPr>
                <w:color w:val="000000"/>
              </w:rPr>
              <w:sym w:font="Symbol" w:char="F0B0"/>
            </w:r>
            <w:r w:rsidRPr="006905BC">
              <w:rPr>
                <w:color w:val="000000"/>
              </w:rPr>
              <w:t xml:space="preserve"> (peak)</w:t>
            </w:r>
          </w:p>
        </w:tc>
      </w:tr>
      <w:tr w:rsidR="008208CE" w:rsidRPr="006905BC" w:rsidTr="00511B8F">
        <w:trPr>
          <w:cantSplit/>
          <w:jc w:val="center"/>
        </w:trPr>
        <w:tc>
          <w:tcPr>
            <w:tcW w:w="5220" w:type="dxa"/>
          </w:tcPr>
          <w:p w:rsidR="008208CE" w:rsidRPr="006905BC" w:rsidRDefault="008208CE" w:rsidP="00511B8F">
            <w:pPr>
              <w:pStyle w:val="Tabletext"/>
            </w:pPr>
            <w:r w:rsidRPr="006905BC">
              <w:rPr>
                <w:color w:val="000000"/>
              </w:rPr>
              <w:t>Maximum ESV e.i.r.p. spectral density toward the horizon</w:t>
            </w:r>
          </w:p>
        </w:tc>
        <w:tc>
          <w:tcPr>
            <w:tcW w:w="2296" w:type="dxa"/>
          </w:tcPr>
          <w:p w:rsidR="008208CE" w:rsidRPr="006905BC" w:rsidRDefault="008208CE" w:rsidP="00511B8F">
            <w:pPr>
              <w:pStyle w:val="Tabletext"/>
              <w:jc w:val="center"/>
            </w:pPr>
            <w:r w:rsidRPr="006905BC">
              <w:rPr>
                <w:color w:val="000000"/>
              </w:rPr>
              <w:t>17 dB(W/MHz)</w:t>
            </w:r>
          </w:p>
        </w:tc>
        <w:tc>
          <w:tcPr>
            <w:tcW w:w="1843" w:type="dxa"/>
          </w:tcPr>
          <w:p w:rsidR="008208CE" w:rsidRPr="006905BC" w:rsidRDefault="008208CE" w:rsidP="00511B8F">
            <w:pPr>
              <w:pStyle w:val="Tabletext"/>
              <w:jc w:val="center"/>
            </w:pPr>
            <w:r w:rsidRPr="006905BC">
              <w:rPr>
                <w:color w:val="000000"/>
              </w:rPr>
              <w:t>12.5 dB(W/MHz)</w:t>
            </w:r>
          </w:p>
        </w:tc>
      </w:tr>
      <w:tr w:rsidR="008208CE" w:rsidRPr="006905BC" w:rsidTr="00511B8F">
        <w:trPr>
          <w:cantSplit/>
          <w:jc w:val="center"/>
        </w:trPr>
        <w:tc>
          <w:tcPr>
            <w:tcW w:w="5220" w:type="dxa"/>
            <w:tcBorders>
              <w:bottom w:val="single" w:sz="4" w:space="0" w:color="auto"/>
            </w:tcBorders>
          </w:tcPr>
          <w:p w:rsidR="008208CE" w:rsidRPr="006905BC" w:rsidRDefault="008208CE" w:rsidP="00511B8F">
            <w:pPr>
              <w:pStyle w:val="Tabletext"/>
            </w:pPr>
            <w:r w:rsidRPr="006905BC">
              <w:rPr>
                <w:color w:val="000000"/>
              </w:rPr>
              <w:t>Maximum ESV e.i.r.p. towards the horizon</w:t>
            </w:r>
          </w:p>
        </w:tc>
        <w:tc>
          <w:tcPr>
            <w:tcW w:w="2296" w:type="dxa"/>
            <w:tcBorders>
              <w:bottom w:val="single" w:sz="4" w:space="0" w:color="auto"/>
            </w:tcBorders>
          </w:tcPr>
          <w:p w:rsidR="008208CE" w:rsidRPr="006905BC" w:rsidRDefault="008208CE" w:rsidP="00511B8F">
            <w:pPr>
              <w:pStyle w:val="Tabletext"/>
              <w:jc w:val="center"/>
            </w:pPr>
            <w:r w:rsidRPr="006905BC">
              <w:rPr>
                <w:color w:val="000000"/>
              </w:rPr>
              <w:t>20.8 dBW</w:t>
            </w:r>
          </w:p>
        </w:tc>
        <w:tc>
          <w:tcPr>
            <w:tcW w:w="1843" w:type="dxa"/>
            <w:tcBorders>
              <w:bottom w:val="single" w:sz="4" w:space="0" w:color="auto"/>
            </w:tcBorders>
          </w:tcPr>
          <w:p w:rsidR="008208CE" w:rsidRPr="006905BC" w:rsidRDefault="008208CE" w:rsidP="00511B8F">
            <w:pPr>
              <w:pStyle w:val="Tabletext"/>
              <w:jc w:val="center"/>
            </w:pPr>
            <w:r w:rsidRPr="006905BC">
              <w:rPr>
                <w:color w:val="000000"/>
              </w:rPr>
              <w:t>16.3 dBW</w:t>
            </w:r>
          </w:p>
        </w:tc>
      </w:tr>
      <w:tr w:rsidR="008208CE" w:rsidRPr="006905BC" w:rsidTr="00511B8F">
        <w:trPr>
          <w:cantSplit/>
          <w:jc w:val="center"/>
        </w:trPr>
        <w:tc>
          <w:tcPr>
            <w:tcW w:w="5220" w:type="dxa"/>
            <w:tcBorders>
              <w:bottom w:val="single" w:sz="4" w:space="0" w:color="auto"/>
            </w:tcBorders>
          </w:tcPr>
          <w:p w:rsidR="008208CE" w:rsidRPr="006905BC" w:rsidRDefault="008208CE">
            <w:pPr>
              <w:pStyle w:val="Tabletext"/>
            </w:pPr>
            <w:r w:rsidRPr="006905BC">
              <w:rPr>
                <w:color w:val="000000"/>
              </w:rPr>
              <w:t>Maximum off-axis e.i.r.p. density</w:t>
            </w:r>
            <w:del w:id="150" w:author="Bonnici, Adrienne" w:date="2015-10-19T11:55:00Z">
              <w:r w:rsidRPr="006905BC" w:rsidDel="00CB6533">
                <w:rPr>
                  <w:color w:val="000000"/>
                  <w:vertAlign w:val="superscript"/>
                </w:rPr>
                <w:delText>2</w:delText>
              </w:r>
            </w:del>
            <w:ins w:id="151" w:author="Bonnici, Adrienne" w:date="2015-10-19T11:55:00Z">
              <w:r>
                <w:rPr>
                  <w:color w:val="000000"/>
                  <w:vertAlign w:val="superscript"/>
                </w:rPr>
                <w:t>1</w:t>
              </w:r>
            </w:ins>
          </w:p>
        </w:tc>
        <w:tc>
          <w:tcPr>
            <w:tcW w:w="2296" w:type="dxa"/>
            <w:tcBorders>
              <w:bottom w:val="single" w:sz="4" w:space="0" w:color="auto"/>
            </w:tcBorders>
          </w:tcPr>
          <w:p w:rsidR="008208CE" w:rsidRPr="006905BC" w:rsidRDefault="008208CE" w:rsidP="00511B8F">
            <w:pPr>
              <w:pStyle w:val="Tabletext"/>
              <w:jc w:val="center"/>
            </w:pPr>
            <w:r w:rsidRPr="006905BC">
              <w:rPr>
                <w:color w:val="000000"/>
              </w:rPr>
              <w:t>See below</w:t>
            </w:r>
          </w:p>
        </w:tc>
        <w:tc>
          <w:tcPr>
            <w:tcW w:w="1843" w:type="dxa"/>
            <w:tcBorders>
              <w:bottom w:val="single" w:sz="4" w:space="0" w:color="auto"/>
            </w:tcBorders>
          </w:tcPr>
          <w:p w:rsidR="008208CE" w:rsidRPr="006905BC" w:rsidRDefault="008208CE" w:rsidP="00511B8F">
            <w:pPr>
              <w:pStyle w:val="Tabletext"/>
              <w:jc w:val="center"/>
            </w:pPr>
            <w:r w:rsidRPr="006905BC">
              <w:rPr>
                <w:color w:val="000000"/>
              </w:rPr>
              <w:t>See below</w:t>
            </w:r>
          </w:p>
        </w:tc>
      </w:tr>
      <w:tr w:rsidR="008208CE" w:rsidRPr="006905BC" w:rsidTr="00511B8F">
        <w:trPr>
          <w:cantSplit/>
          <w:jc w:val="center"/>
        </w:trPr>
        <w:tc>
          <w:tcPr>
            <w:tcW w:w="9359" w:type="dxa"/>
            <w:gridSpan w:val="3"/>
            <w:tcBorders>
              <w:top w:val="single" w:sz="4" w:space="0" w:color="auto"/>
              <w:left w:val="nil"/>
              <w:bottom w:val="nil"/>
              <w:right w:val="nil"/>
            </w:tcBorders>
          </w:tcPr>
          <w:p w:rsidR="008208CE" w:rsidRPr="006905BC" w:rsidRDefault="008208CE" w:rsidP="00511B8F">
            <w:pPr>
              <w:pStyle w:val="Tablelegend"/>
            </w:pPr>
            <w:r w:rsidRPr="006905BC">
              <w:rPr>
                <w:vertAlign w:val="superscript"/>
              </w:rPr>
              <w:t>1</w:t>
            </w:r>
            <w:del w:id="152" w:author="nattawut.a" w:date="2015-09-23T15:11:00Z">
              <w:r w:rsidRPr="006905BC" w:rsidDel="005A1953">
                <w:tab/>
              </w:r>
            </w:del>
            <w:del w:id="153" w:author="Onanong P. Sa-nguantongalya" w:date="2015-09-01T14:00:00Z">
              <w:r w:rsidRPr="006905BC" w:rsidDel="005F0417">
                <w:delText>While operations within the minimum distances are subject to specific agreement with concerned administrations, licensing administrations may authorize the deployment of smaller antenna sizes down to 0.6 m at 14 GHz provided that the interference to the terrestrial services is no greater than that which would be caused with an antenna size of 1.2 m, taking into account Recommendation ITU</w:delText>
              </w:r>
              <w:r w:rsidRPr="006905BC" w:rsidDel="005F0417">
                <w:noBreakHyphen/>
                <w:delText>R SF.1650. In any case, the use of smaller antenna size shall be in compliance with the tracking accuracy of ESV antenna, maximum ESV e.i.r.p. spectral density toward the horizon, maximum ESV e.i.r.p. towards the horizon and maximum off-axis e.i.r.p. density limits in the Table above and the protection requirements of the FSS intersystem coordination agreements.</w:delText>
              </w:r>
            </w:del>
          </w:p>
          <w:p w:rsidR="008208CE" w:rsidRPr="006905BC" w:rsidRDefault="008208CE" w:rsidP="00511B8F">
            <w:pPr>
              <w:pStyle w:val="Tablelegend"/>
            </w:pPr>
            <w:del w:id="154" w:author="nattawut.a" w:date="2015-09-23T15:11:00Z">
              <w:r w:rsidRPr="006905BC" w:rsidDel="005A1953">
                <w:rPr>
                  <w:vertAlign w:val="superscript"/>
                </w:rPr>
                <w:delText>2</w:delText>
              </w:r>
            </w:del>
            <w:ins w:id="155" w:author="Bonnici, Adrienne" w:date="2015-10-19T11:54:00Z">
              <w:r>
                <w:rPr>
                  <w:vertAlign w:val="superscript"/>
                </w:rPr>
                <w:t>1</w:t>
              </w:r>
            </w:ins>
            <w:del w:id="156" w:author="nattawut.a" w:date="2015-09-23T15:11:00Z">
              <w:r w:rsidRPr="006905BC" w:rsidDel="005A1953">
                <w:tab/>
              </w:r>
            </w:del>
            <w:r w:rsidRPr="006905BC">
              <w:t>In any case, the e.i.r.p. off-axis limits shall be compliant with the FSS intersystem coordination agreements that may agree to more stringent off-axis e.i.r.p. levels.</w:t>
            </w:r>
          </w:p>
        </w:tc>
      </w:tr>
    </w:tbl>
    <w:p w:rsidR="008208CE" w:rsidRDefault="008208CE" w:rsidP="008208CE">
      <w:pPr>
        <w:pStyle w:val="Headingb"/>
        <w:rPr>
          <w:ins w:id="157" w:author="Onanong P. Sa-nguantongalya" w:date="2015-09-01T14:24:00Z"/>
          <w:lang w:val="en-GB"/>
        </w:rPr>
      </w:pPr>
    </w:p>
    <w:p w:rsidR="008208CE" w:rsidRPr="006905BC" w:rsidRDefault="008208CE" w:rsidP="008208CE">
      <w:pPr>
        <w:pStyle w:val="Headingb"/>
        <w:rPr>
          <w:lang w:val="en-GB"/>
        </w:rPr>
      </w:pPr>
      <w:r>
        <w:rPr>
          <w:lang w:val="en-GB"/>
        </w:rPr>
        <w:br w:type="page"/>
      </w:r>
      <w:r w:rsidRPr="006905BC">
        <w:rPr>
          <w:lang w:val="en-GB"/>
        </w:rPr>
        <w:lastRenderedPageBreak/>
        <w:t>Off-axis limits</w:t>
      </w:r>
    </w:p>
    <w:p w:rsidR="008208CE" w:rsidRPr="006905BC" w:rsidRDefault="008208CE" w:rsidP="008208CE">
      <w:r w:rsidRPr="006905BC">
        <w:rPr>
          <w:color w:val="000000"/>
        </w:rPr>
        <w:t xml:space="preserve">For earth stations on board vessels operating in the </w:t>
      </w:r>
      <w:r w:rsidRPr="006905BC">
        <w:t>5 925-6 425 </w:t>
      </w:r>
      <w:r w:rsidRPr="006905BC">
        <w:rPr>
          <w:color w:val="000000"/>
        </w:rPr>
        <w:t xml:space="preserve">MHz band, at any angle </w:t>
      </w:r>
      <w:r w:rsidRPr="006905BC">
        <w:t>φ</w:t>
      </w:r>
      <w:r w:rsidRPr="006905BC">
        <w:rPr>
          <w:rFonts w:ascii="Symbol" w:hAnsi="Symbol"/>
          <w:color w:val="000000"/>
        </w:rPr>
        <w:t></w:t>
      </w:r>
      <w:r w:rsidRPr="006905BC">
        <w:rPr>
          <w:color w:val="000000"/>
        </w:rPr>
        <w:t>specified below, off the main-lobe axis of an earth-station antenna, the maximum e.i.r.p. in any direction within 3° of the GSO shall not exceed the following values:</w:t>
      </w:r>
    </w:p>
    <w:p w:rsidR="008208CE" w:rsidRPr="006905BC" w:rsidRDefault="008208CE" w:rsidP="008208CE">
      <w:pPr>
        <w:spacing w:after="120"/>
        <w:jc w:val="center"/>
        <w:rPr>
          <w:b/>
          <w:bCs/>
        </w:rPr>
      </w:pPr>
      <w:r w:rsidRPr="006905BC">
        <w:rPr>
          <w:b/>
          <w:bCs/>
        </w:rPr>
        <w:t>5 925-6 425 MHz</w:t>
      </w:r>
    </w:p>
    <w:tbl>
      <w:tblPr>
        <w:tblW w:w="7054" w:type="dxa"/>
        <w:tblInd w:w="1134" w:type="dxa"/>
        <w:tblLayout w:type="fixed"/>
        <w:tblLook w:val="04A0" w:firstRow="1" w:lastRow="0" w:firstColumn="1" w:lastColumn="0" w:noHBand="0" w:noVBand="1"/>
      </w:tblPr>
      <w:tblGrid>
        <w:gridCol w:w="817"/>
        <w:gridCol w:w="284"/>
        <w:gridCol w:w="283"/>
        <w:gridCol w:w="283"/>
        <w:gridCol w:w="709"/>
        <w:gridCol w:w="567"/>
        <w:gridCol w:w="3544"/>
        <w:gridCol w:w="567"/>
      </w:tblGrid>
      <w:tr w:rsidR="008208CE" w:rsidRPr="006905BC" w:rsidTr="00511B8F">
        <w:tc>
          <w:tcPr>
            <w:tcW w:w="2376" w:type="dxa"/>
            <w:gridSpan w:val="5"/>
          </w:tcPr>
          <w:p w:rsidR="008208CE" w:rsidRPr="006905BC" w:rsidRDefault="008208CE" w:rsidP="00511B8F">
            <w:pPr>
              <w:ind w:left="142"/>
              <w:jc w:val="center"/>
              <w:rPr>
                <w:i/>
                <w:iCs/>
              </w:rPr>
            </w:pPr>
            <w:r w:rsidRPr="006905BC">
              <w:rPr>
                <w:i/>
                <w:iCs/>
              </w:rPr>
              <w:t>Angle off-axis</w:t>
            </w:r>
          </w:p>
        </w:tc>
        <w:tc>
          <w:tcPr>
            <w:tcW w:w="4678" w:type="dxa"/>
            <w:gridSpan w:val="3"/>
          </w:tcPr>
          <w:p w:rsidR="008208CE" w:rsidRPr="006905BC" w:rsidRDefault="008208CE" w:rsidP="00511B8F">
            <w:pPr>
              <w:jc w:val="center"/>
              <w:rPr>
                <w:i/>
                <w:iCs/>
              </w:rPr>
            </w:pPr>
            <w:r w:rsidRPr="006905BC">
              <w:rPr>
                <w:i/>
                <w:iCs/>
              </w:rPr>
              <w:t>Maximum e.i.r.p. per 4 kHz band</w:t>
            </w:r>
          </w:p>
        </w:tc>
      </w:tr>
      <w:tr w:rsidR="008208CE" w:rsidRPr="006905BC" w:rsidTr="00511B8F">
        <w:trPr>
          <w:gridAfter w:val="1"/>
          <w:wAfter w:w="567" w:type="dxa"/>
        </w:trPr>
        <w:tc>
          <w:tcPr>
            <w:tcW w:w="817" w:type="dxa"/>
          </w:tcPr>
          <w:p w:rsidR="008208CE" w:rsidRPr="006905BC" w:rsidRDefault="008208CE" w:rsidP="00511B8F">
            <w:pPr>
              <w:tabs>
                <w:tab w:val="decimal" w:pos="321"/>
              </w:tabs>
            </w:pPr>
            <w:r w:rsidRPr="006905BC">
              <w:tab/>
              <w:t>2.5°</w:t>
            </w:r>
          </w:p>
        </w:tc>
        <w:tc>
          <w:tcPr>
            <w:tcW w:w="284" w:type="dxa"/>
          </w:tcPr>
          <w:p w:rsidR="008208CE" w:rsidRPr="006905BC" w:rsidRDefault="008208CE" w:rsidP="00511B8F">
            <w:r w:rsidRPr="006905BC">
              <w:t>≤</w:t>
            </w:r>
          </w:p>
        </w:tc>
        <w:tc>
          <w:tcPr>
            <w:tcW w:w="283" w:type="dxa"/>
          </w:tcPr>
          <w:p w:rsidR="008208CE" w:rsidRPr="006905BC" w:rsidRDefault="008208CE" w:rsidP="00511B8F">
            <w:r w:rsidRPr="006905BC">
              <w:t>φ</w:t>
            </w:r>
          </w:p>
        </w:tc>
        <w:tc>
          <w:tcPr>
            <w:tcW w:w="283" w:type="dxa"/>
          </w:tcPr>
          <w:p w:rsidR="008208CE" w:rsidRPr="006905BC" w:rsidRDefault="008208CE" w:rsidP="00511B8F">
            <w:r w:rsidRPr="006905BC">
              <w:t>≤</w:t>
            </w:r>
          </w:p>
        </w:tc>
        <w:tc>
          <w:tcPr>
            <w:tcW w:w="1276" w:type="dxa"/>
            <w:gridSpan w:val="2"/>
          </w:tcPr>
          <w:p w:rsidR="008208CE" w:rsidRPr="006905BC" w:rsidRDefault="008208CE" w:rsidP="00511B8F">
            <w:pPr>
              <w:tabs>
                <w:tab w:val="decimal" w:pos="373"/>
              </w:tabs>
            </w:pPr>
            <w:r w:rsidRPr="006905BC">
              <w:tab/>
              <w:t>7°</w:t>
            </w:r>
          </w:p>
        </w:tc>
        <w:tc>
          <w:tcPr>
            <w:tcW w:w="3544" w:type="dxa"/>
          </w:tcPr>
          <w:p w:rsidR="008208CE" w:rsidRPr="006905BC" w:rsidRDefault="008208CE" w:rsidP="00511B8F">
            <w:r w:rsidRPr="006905BC">
              <w:t>(32 − 25 log φ)    dB(W/4 kHz)</w:t>
            </w:r>
          </w:p>
        </w:tc>
      </w:tr>
      <w:tr w:rsidR="008208CE" w:rsidRPr="006905BC" w:rsidTr="00511B8F">
        <w:trPr>
          <w:gridAfter w:val="1"/>
          <w:wAfter w:w="567" w:type="dxa"/>
        </w:trPr>
        <w:tc>
          <w:tcPr>
            <w:tcW w:w="817" w:type="dxa"/>
          </w:tcPr>
          <w:p w:rsidR="008208CE" w:rsidRPr="006905BC" w:rsidRDefault="008208CE" w:rsidP="00511B8F">
            <w:pPr>
              <w:tabs>
                <w:tab w:val="decimal" w:pos="321"/>
              </w:tabs>
            </w:pPr>
            <w:r w:rsidRPr="006905BC">
              <w:tab/>
              <w:t>7°</w:t>
            </w:r>
          </w:p>
        </w:tc>
        <w:tc>
          <w:tcPr>
            <w:tcW w:w="284" w:type="dxa"/>
          </w:tcPr>
          <w:p w:rsidR="008208CE" w:rsidRPr="006905BC" w:rsidRDefault="008208CE" w:rsidP="00511B8F">
            <w:r w:rsidRPr="006905BC">
              <w:t>&lt;</w:t>
            </w:r>
          </w:p>
        </w:tc>
        <w:tc>
          <w:tcPr>
            <w:tcW w:w="283" w:type="dxa"/>
          </w:tcPr>
          <w:p w:rsidR="008208CE" w:rsidRPr="006905BC" w:rsidRDefault="008208CE" w:rsidP="00511B8F">
            <w:r w:rsidRPr="006905BC">
              <w:t>φ</w:t>
            </w:r>
          </w:p>
        </w:tc>
        <w:tc>
          <w:tcPr>
            <w:tcW w:w="283" w:type="dxa"/>
          </w:tcPr>
          <w:p w:rsidR="008208CE" w:rsidRPr="006905BC" w:rsidRDefault="008208CE" w:rsidP="00511B8F">
            <w:r w:rsidRPr="006905BC">
              <w:t>≤</w:t>
            </w:r>
          </w:p>
        </w:tc>
        <w:tc>
          <w:tcPr>
            <w:tcW w:w="1276" w:type="dxa"/>
            <w:gridSpan w:val="2"/>
          </w:tcPr>
          <w:p w:rsidR="008208CE" w:rsidRPr="006905BC" w:rsidRDefault="008208CE" w:rsidP="00511B8F">
            <w:pPr>
              <w:tabs>
                <w:tab w:val="decimal" w:pos="373"/>
              </w:tabs>
            </w:pPr>
            <w:r w:rsidRPr="006905BC">
              <w:tab/>
              <w:t>9.2°</w:t>
            </w:r>
          </w:p>
        </w:tc>
        <w:tc>
          <w:tcPr>
            <w:tcW w:w="3544" w:type="dxa"/>
          </w:tcPr>
          <w:p w:rsidR="008208CE" w:rsidRPr="006905BC" w:rsidRDefault="008208CE" w:rsidP="00511B8F">
            <w:r w:rsidRPr="006905BC">
              <w:t>11    dB(W/4 kHz)</w:t>
            </w:r>
          </w:p>
        </w:tc>
      </w:tr>
      <w:tr w:rsidR="008208CE" w:rsidRPr="006905BC" w:rsidTr="00511B8F">
        <w:trPr>
          <w:gridAfter w:val="1"/>
          <w:wAfter w:w="567" w:type="dxa"/>
        </w:trPr>
        <w:tc>
          <w:tcPr>
            <w:tcW w:w="817" w:type="dxa"/>
          </w:tcPr>
          <w:p w:rsidR="008208CE" w:rsidRPr="006905BC" w:rsidRDefault="008208CE" w:rsidP="00511B8F">
            <w:pPr>
              <w:tabs>
                <w:tab w:val="decimal" w:pos="321"/>
              </w:tabs>
            </w:pPr>
            <w:r w:rsidRPr="006905BC">
              <w:tab/>
              <w:t>9.2°</w:t>
            </w:r>
          </w:p>
        </w:tc>
        <w:tc>
          <w:tcPr>
            <w:tcW w:w="284" w:type="dxa"/>
          </w:tcPr>
          <w:p w:rsidR="008208CE" w:rsidRPr="006905BC" w:rsidRDefault="008208CE" w:rsidP="00511B8F">
            <w:r w:rsidRPr="006905BC">
              <w:t>&lt;</w:t>
            </w:r>
          </w:p>
        </w:tc>
        <w:tc>
          <w:tcPr>
            <w:tcW w:w="283" w:type="dxa"/>
          </w:tcPr>
          <w:p w:rsidR="008208CE" w:rsidRPr="006905BC" w:rsidRDefault="008208CE" w:rsidP="00511B8F">
            <w:r w:rsidRPr="006905BC">
              <w:t>φ</w:t>
            </w:r>
          </w:p>
        </w:tc>
        <w:tc>
          <w:tcPr>
            <w:tcW w:w="283" w:type="dxa"/>
          </w:tcPr>
          <w:p w:rsidR="008208CE" w:rsidRPr="006905BC" w:rsidRDefault="008208CE" w:rsidP="00511B8F">
            <w:r w:rsidRPr="006905BC">
              <w:t>≤</w:t>
            </w:r>
          </w:p>
        </w:tc>
        <w:tc>
          <w:tcPr>
            <w:tcW w:w="1276" w:type="dxa"/>
            <w:gridSpan w:val="2"/>
          </w:tcPr>
          <w:p w:rsidR="008208CE" w:rsidRPr="006905BC" w:rsidRDefault="008208CE" w:rsidP="00511B8F">
            <w:pPr>
              <w:tabs>
                <w:tab w:val="decimal" w:pos="373"/>
              </w:tabs>
            </w:pPr>
            <w:r w:rsidRPr="006905BC">
              <w:tab/>
              <w:t>48°</w:t>
            </w:r>
          </w:p>
        </w:tc>
        <w:tc>
          <w:tcPr>
            <w:tcW w:w="3544" w:type="dxa"/>
          </w:tcPr>
          <w:p w:rsidR="008208CE" w:rsidRPr="006905BC" w:rsidRDefault="008208CE" w:rsidP="00511B8F">
            <w:r w:rsidRPr="006905BC">
              <w:t>(35 − 25 log φ)    dB(W/4 kHz)</w:t>
            </w:r>
          </w:p>
        </w:tc>
      </w:tr>
      <w:tr w:rsidR="008208CE" w:rsidRPr="006905BC" w:rsidTr="00511B8F">
        <w:trPr>
          <w:gridAfter w:val="1"/>
          <w:wAfter w:w="567" w:type="dxa"/>
        </w:trPr>
        <w:tc>
          <w:tcPr>
            <w:tcW w:w="817" w:type="dxa"/>
          </w:tcPr>
          <w:p w:rsidR="008208CE" w:rsidRPr="006905BC" w:rsidRDefault="008208CE" w:rsidP="00511B8F">
            <w:pPr>
              <w:tabs>
                <w:tab w:val="decimal" w:pos="321"/>
              </w:tabs>
            </w:pPr>
            <w:r w:rsidRPr="006905BC">
              <w:tab/>
              <w:t>48°</w:t>
            </w:r>
          </w:p>
        </w:tc>
        <w:tc>
          <w:tcPr>
            <w:tcW w:w="284" w:type="dxa"/>
          </w:tcPr>
          <w:p w:rsidR="008208CE" w:rsidRPr="006905BC" w:rsidRDefault="008208CE" w:rsidP="00511B8F">
            <w:r w:rsidRPr="006905BC">
              <w:t>&lt;</w:t>
            </w:r>
          </w:p>
        </w:tc>
        <w:tc>
          <w:tcPr>
            <w:tcW w:w="283" w:type="dxa"/>
          </w:tcPr>
          <w:p w:rsidR="008208CE" w:rsidRPr="006905BC" w:rsidRDefault="008208CE" w:rsidP="00511B8F">
            <w:r w:rsidRPr="006905BC">
              <w:t>φ</w:t>
            </w:r>
          </w:p>
        </w:tc>
        <w:tc>
          <w:tcPr>
            <w:tcW w:w="283" w:type="dxa"/>
          </w:tcPr>
          <w:p w:rsidR="008208CE" w:rsidRPr="006905BC" w:rsidRDefault="008208CE" w:rsidP="00511B8F">
            <w:r w:rsidRPr="006905BC">
              <w:t>≤</w:t>
            </w:r>
          </w:p>
        </w:tc>
        <w:tc>
          <w:tcPr>
            <w:tcW w:w="1276" w:type="dxa"/>
            <w:gridSpan w:val="2"/>
          </w:tcPr>
          <w:p w:rsidR="008208CE" w:rsidRPr="006905BC" w:rsidRDefault="008208CE" w:rsidP="00511B8F">
            <w:pPr>
              <w:tabs>
                <w:tab w:val="decimal" w:pos="373"/>
              </w:tabs>
            </w:pPr>
            <w:r w:rsidRPr="006905BC">
              <w:tab/>
              <w:t>180°</w:t>
            </w:r>
          </w:p>
        </w:tc>
        <w:tc>
          <w:tcPr>
            <w:tcW w:w="3544" w:type="dxa"/>
          </w:tcPr>
          <w:p w:rsidR="008208CE" w:rsidRPr="006905BC" w:rsidRDefault="008208CE" w:rsidP="00511B8F">
            <w:r w:rsidRPr="006905BC">
              <w:t>−7     dB(W/4 kHz)</w:t>
            </w:r>
          </w:p>
        </w:tc>
      </w:tr>
    </w:tbl>
    <w:p w:rsidR="008208CE" w:rsidRPr="006905BC" w:rsidRDefault="008208CE" w:rsidP="008208CE">
      <w:r w:rsidRPr="006905BC">
        <w:rPr>
          <w:color w:val="000000"/>
        </w:rPr>
        <w:t xml:space="preserve">For ESV operating in the 14-14.5 GHz band, at any angle </w:t>
      </w:r>
      <w:r w:rsidRPr="006905BC">
        <w:t>φ</w:t>
      </w:r>
      <w:r w:rsidRPr="006905BC">
        <w:rPr>
          <w:color w:val="000000"/>
        </w:rPr>
        <w:t xml:space="preserve"> specified below, off the main-lobe axis of an earth station antenna, the maximum e.i.r.p. in any direction within 3° of the GSO shall not exceed the following values:</w:t>
      </w:r>
    </w:p>
    <w:p w:rsidR="008208CE" w:rsidRPr="006905BC" w:rsidRDefault="008208CE" w:rsidP="008208CE">
      <w:pPr>
        <w:spacing w:after="120"/>
        <w:jc w:val="center"/>
        <w:rPr>
          <w:b/>
          <w:bCs/>
        </w:rPr>
      </w:pPr>
      <w:r w:rsidRPr="006905BC">
        <w:rPr>
          <w:b/>
          <w:bCs/>
        </w:rPr>
        <w:t>14.0-14.5 GHz</w:t>
      </w:r>
    </w:p>
    <w:tbl>
      <w:tblPr>
        <w:tblW w:w="6629" w:type="dxa"/>
        <w:tblInd w:w="1134" w:type="dxa"/>
        <w:tblLayout w:type="fixed"/>
        <w:tblLook w:val="04A0" w:firstRow="1" w:lastRow="0" w:firstColumn="1" w:lastColumn="0" w:noHBand="0" w:noVBand="1"/>
      </w:tblPr>
      <w:tblGrid>
        <w:gridCol w:w="817"/>
        <w:gridCol w:w="142"/>
        <w:gridCol w:w="142"/>
        <w:gridCol w:w="142"/>
        <w:gridCol w:w="141"/>
        <w:gridCol w:w="142"/>
        <w:gridCol w:w="142"/>
        <w:gridCol w:w="142"/>
        <w:gridCol w:w="1275"/>
        <w:gridCol w:w="1843"/>
        <w:gridCol w:w="1701"/>
      </w:tblGrid>
      <w:tr w:rsidR="008208CE" w:rsidRPr="006905BC" w:rsidTr="00511B8F">
        <w:tc>
          <w:tcPr>
            <w:tcW w:w="3085" w:type="dxa"/>
            <w:gridSpan w:val="9"/>
          </w:tcPr>
          <w:p w:rsidR="008208CE" w:rsidRPr="006905BC" w:rsidRDefault="008208CE" w:rsidP="00511B8F">
            <w:pPr>
              <w:ind w:left="-567"/>
              <w:jc w:val="center"/>
              <w:rPr>
                <w:i/>
                <w:iCs/>
              </w:rPr>
            </w:pPr>
            <w:r w:rsidRPr="006905BC">
              <w:rPr>
                <w:i/>
                <w:iCs/>
              </w:rPr>
              <w:t>Angle off-axis</w:t>
            </w:r>
          </w:p>
        </w:tc>
        <w:tc>
          <w:tcPr>
            <w:tcW w:w="3544" w:type="dxa"/>
            <w:gridSpan w:val="2"/>
          </w:tcPr>
          <w:p w:rsidR="008208CE" w:rsidRPr="006905BC" w:rsidRDefault="008208CE" w:rsidP="00511B8F">
            <w:pPr>
              <w:jc w:val="center"/>
              <w:rPr>
                <w:i/>
                <w:iCs/>
              </w:rPr>
            </w:pPr>
            <w:r w:rsidRPr="006905BC">
              <w:rPr>
                <w:i/>
                <w:iCs/>
              </w:rPr>
              <w:t>Maximum e.i.r.p. per 40 kHz band</w:t>
            </w:r>
          </w:p>
        </w:tc>
      </w:tr>
      <w:tr w:rsidR="008208CE" w:rsidRPr="006905BC" w:rsidTr="00511B8F">
        <w:tc>
          <w:tcPr>
            <w:tcW w:w="817" w:type="dxa"/>
          </w:tcPr>
          <w:p w:rsidR="008208CE" w:rsidRPr="006905BC" w:rsidRDefault="008208CE" w:rsidP="00511B8F">
            <w:pPr>
              <w:tabs>
                <w:tab w:val="decimal" w:pos="284"/>
              </w:tabs>
            </w:pPr>
            <w:r w:rsidRPr="006905BC">
              <w:tab/>
              <w:t>2°</w:t>
            </w:r>
          </w:p>
        </w:tc>
        <w:tc>
          <w:tcPr>
            <w:tcW w:w="284" w:type="dxa"/>
            <w:gridSpan w:val="2"/>
          </w:tcPr>
          <w:p w:rsidR="008208CE" w:rsidRPr="006905BC" w:rsidRDefault="008208CE" w:rsidP="00511B8F">
            <w:r w:rsidRPr="006905BC">
              <w:t>≤</w:t>
            </w:r>
          </w:p>
        </w:tc>
        <w:tc>
          <w:tcPr>
            <w:tcW w:w="283" w:type="dxa"/>
            <w:gridSpan w:val="2"/>
          </w:tcPr>
          <w:p w:rsidR="008208CE" w:rsidRPr="006905BC" w:rsidRDefault="008208CE" w:rsidP="00511B8F">
            <w:r w:rsidRPr="006905BC">
              <w:t>φ</w:t>
            </w:r>
          </w:p>
        </w:tc>
        <w:tc>
          <w:tcPr>
            <w:tcW w:w="284" w:type="dxa"/>
            <w:gridSpan w:val="2"/>
          </w:tcPr>
          <w:p w:rsidR="008208CE" w:rsidRPr="006905BC" w:rsidRDefault="008208CE" w:rsidP="00511B8F">
            <w:r w:rsidRPr="006905BC">
              <w:t>≤</w:t>
            </w:r>
          </w:p>
        </w:tc>
        <w:tc>
          <w:tcPr>
            <w:tcW w:w="1417" w:type="dxa"/>
            <w:gridSpan w:val="2"/>
          </w:tcPr>
          <w:p w:rsidR="008208CE" w:rsidRPr="006905BC" w:rsidRDefault="008208CE" w:rsidP="00511B8F">
            <w:pPr>
              <w:tabs>
                <w:tab w:val="decimal" w:pos="373"/>
              </w:tabs>
            </w:pPr>
            <w:r w:rsidRPr="006905BC">
              <w:tab/>
              <w:t>7°</w:t>
            </w:r>
          </w:p>
        </w:tc>
        <w:tc>
          <w:tcPr>
            <w:tcW w:w="3544" w:type="dxa"/>
            <w:gridSpan w:val="2"/>
          </w:tcPr>
          <w:p w:rsidR="008208CE" w:rsidRPr="006905BC" w:rsidRDefault="008208CE" w:rsidP="00511B8F">
            <w:r w:rsidRPr="006905BC">
              <w:t>(33 − 25 log  φ)    dB(W/40 kHz)</w:t>
            </w:r>
          </w:p>
        </w:tc>
      </w:tr>
      <w:tr w:rsidR="008208CE" w:rsidRPr="006905BC" w:rsidTr="00511B8F">
        <w:tc>
          <w:tcPr>
            <w:tcW w:w="817" w:type="dxa"/>
          </w:tcPr>
          <w:p w:rsidR="008208CE" w:rsidRPr="006905BC" w:rsidRDefault="008208CE" w:rsidP="00511B8F">
            <w:pPr>
              <w:tabs>
                <w:tab w:val="decimal" w:pos="284"/>
              </w:tabs>
            </w:pPr>
            <w:r w:rsidRPr="006905BC">
              <w:tab/>
              <w:t>7°</w:t>
            </w:r>
          </w:p>
        </w:tc>
        <w:tc>
          <w:tcPr>
            <w:tcW w:w="284" w:type="dxa"/>
            <w:gridSpan w:val="2"/>
          </w:tcPr>
          <w:p w:rsidR="008208CE" w:rsidRPr="006905BC" w:rsidRDefault="008208CE" w:rsidP="00511B8F">
            <w:r w:rsidRPr="006905BC">
              <w:t>&lt;</w:t>
            </w:r>
          </w:p>
        </w:tc>
        <w:tc>
          <w:tcPr>
            <w:tcW w:w="283" w:type="dxa"/>
            <w:gridSpan w:val="2"/>
          </w:tcPr>
          <w:p w:rsidR="008208CE" w:rsidRPr="006905BC" w:rsidRDefault="008208CE" w:rsidP="00511B8F">
            <w:r w:rsidRPr="006905BC">
              <w:t>φ</w:t>
            </w:r>
          </w:p>
        </w:tc>
        <w:tc>
          <w:tcPr>
            <w:tcW w:w="284" w:type="dxa"/>
            <w:gridSpan w:val="2"/>
          </w:tcPr>
          <w:p w:rsidR="008208CE" w:rsidRPr="006905BC" w:rsidRDefault="008208CE" w:rsidP="00511B8F">
            <w:r w:rsidRPr="006905BC">
              <w:t>≤</w:t>
            </w:r>
          </w:p>
        </w:tc>
        <w:tc>
          <w:tcPr>
            <w:tcW w:w="1417" w:type="dxa"/>
            <w:gridSpan w:val="2"/>
          </w:tcPr>
          <w:p w:rsidR="008208CE" w:rsidRPr="006905BC" w:rsidRDefault="008208CE" w:rsidP="00511B8F">
            <w:pPr>
              <w:tabs>
                <w:tab w:val="decimal" w:pos="373"/>
              </w:tabs>
            </w:pPr>
            <w:r w:rsidRPr="006905BC">
              <w:tab/>
              <w:t>9.2°</w:t>
            </w:r>
          </w:p>
        </w:tc>
        <w:tc>
          <w:tcPr>
            <w:tcW w:w="3544" w:type="dxa"/>
            <w:gridSpan w:val="2"/>
          </w:tcPr>
          <w:p w:rsidR="008208CE" w:rsidRPr="006905BC" w:rsidRDefault="008208CE" w:rsidP="00511B8F">
            <w:r w:rsidRPr="006905BC">
              <w:t>12    dB(W/40 kHz)</w:t>
            </w:r>
          </w:p>
        </w:tc>
      </w:tr>
      <w:tr w:rsidR="008208CE" w:rsidRPr="006905BC" w:rsidTr="00511B8F">
        <w:tc>
          <w:tcPr>
            <w:tcW w:w="817" w:type="dxa"/>
          </w:tcPr>
          <w:p w:rsidR="008208CE" w:rsidRPr="006905BC" w:rsidRDefault="008208CE" w:rsidP="00511B8F">
            <w:pPr>
              <w:tabs>
                <w:tab w:val="decimal" w:pos="284"/>
              </w:tabs>
            </w:pPr>
            <w:r w:rsidRPr="006905BC">
              <w:tab/>
              <w:t>9.2°</w:t>
            </w:r>
          </w:p>
        </w:tc>
        <w:tc>
          <w:tcPr>
            <w:tcW w:w="284" w:type="dxa"/>
            <w:gridSpan w:val="2"/>
          </w:tcPr>
          <w:p w:rsidR="008208CE" w:rsidRPr="006905BC" w:rsidRDefault="008208CE" w:rsidP="00511B8F">
            <w:r w:rsidRPr="006905BC">
              <w:t>&lt;</w:t>
            </w:r>
          </w:p>
        </w:tc>
        <w:tc>
          <w:tcPr>
            <w:tcW w:w="283" w:type="dxa"/>
            <w:gridSpan w:val="2"/>
          </w:tcPr>
          <w:p w:rsidR="008208CE" w:rsidRPr="006905BC" w:rsidRDefault="008208CE" w:rsidP="00511B8F">
            <w:r w:rsidRPr="006905BC">
              <w:t>φ</w:t>
            </w:r>
          </w:p>
        </w:tc>
        <w:tc>
          <w:tcPr>
            <w:tcW w:w="284" w:type="dxa"/>
            <w:gridSpan w:val="2"/>
          </w:tcPr>
          <w:p w:rsidR="008208CE" w:rsidRPr="006905BC" w:rsidRDefault="008208CE" w:rsidP="00511B8F">
            <w:r w:rsidRPr="006905BC">
              <w:t>≤</w:t>
            </w:r>
          </w:p>
        </w:tc>
        <w:tc>
          <w:tcPr>
            <w:tcW w:w="1417" w:type="dxa"/>
            <w:gridSpan w:val="2"/>
          </w:tcPr>
          <w:p w:rsidR="008208CE" w:rsidRPr="006905BC" w:rsidRDefault="008208CE" w:rsidP="00511B8F">
            <w:pPr>
              <w:tabs>
                <w:tab w:val="decimal" w:pos="373"/>
              </w:tabs>
            </w:pPr>
            <w:r w:rsidRPr="006905BC">
              <w:tab/>
              <w:t>48°</w:t>
            </w:r>
          </w:p>
        </w:tc>
        <w:tc>
          <w:tcPr>
            <w:tcW w:w="3544" w:type="dxa"/>
            <w:gridSpan w:val="2"/>
          </w:tcPr>
          <w:p w:rsidR="008208CE" w:rsidRPr="006905BC" w:rsidRDefault="008208CE" w:rsidP="00511B8F">
            <w:r w:rsidRPr="006905BC">
              <w:t>(36 − 25 log φ)    dB(W/40 kHz)</w:t>
            </w:r>
          </w:p>
        </w:tc>
      </w:tr>
      <w:tr w:rsidR="008208CE" w:rsidRPr="006905BC" w:rsidTr="00511B8F">
        <w:tc>
          <w:tcPr>
            <w:tcW w:w="817" w:type="dxa"/>
          </w:tcPr>
          <w:p w:rsidR="008208CE" w:rsidRPr="006905BC" w:rsidRDefault="008208CE" w:rsidP="00511B8F">
            <w:pPr>
              <w:tabs>
                <w:tab w:val="decimal" w:pos="284"/>
              </w:tabs>
            </w:pPr>
            <w:r w:rsidRPr="006905BC">
              <w:tab/>
              <w:t>48°</w:t>
            </w:r>
          </w:p>
        </w:tc>
        <w:tc>
          <w:tcPr>
            <w:tcW w:w="284" w:type="dxa"/>
            <w:gridSpan w:val="2"/>
          </w:tcPr>
          <w:p w:rsidR="008208CE" w:rsidRPr="006905BC" w:rsidRDefault="008208CE" w:rsidP="00511B8F">
            <w:r w:rsidRPr="006905BC">
              <w:t>&lt;</w:t>
            </w:r>
          </w:p>
        </w:tc>
        <w:tc>
          <w:tcPr>
            <w:tcW w:w="283" w:type="dxa"/>
            <w:gridSpan w:val="2"/>
          </w:tcPr>
          <w:p w:rsidR="008208CE" w:rsidRPr="006905BC" w:rsidRDefault="008208CE" w:rsidP="00511B8F">
            <w:r w:rsidRPr="006905BC">
              <w:t>φ</w:t>
            </w:r>
          </w:p>
        </w:tc>
        <w:tc>
          <w:tcPr>
            <w:tcW w:w="284" w:type="dxa"/>
            <w:gridSpan w:val="2"/>
          </w:tcPr>
          <w:p w:rsidR="008208CE" w:rsidRPr="006905BC" w:rsidRDefault="008208CE" w:rsidP="00511B8F">
            <w:r w:rsidRPr="006905BC">
              <w:t>≤</w:t>
            </w:r>
          </w:p>
        </w:tc>
        <w:tc>
          <w:tcPr>
            <w:tcW w:w="1417" w:type="dxa"/>
            <w:gridSpan w:val="2"/>
          </w:tcPr>
          <w:p w:rsidR="008208CE" w:rsidRPr="006905BC" w:rsidRDefault="008208CE" w:rsidP="00511B8F">
            <w:pPr>
              <w:tabs>
                <w:tab w:val="decimal" w:pos="373"/>
              </w:tabs>
            </w:pPr>
            <w:r w:rsidRPr="006905BC">
              <w:tab/>
              <w:t>180°</w:t>
            </w:r>
          </w:p>
        </w:tc>
        <w:tc>
          <w:tcPr>
            <w:tcW w:w="3544" w:type="dxa"/>
            <w:gridSpan w:val="2"/>
          </w:tcPr>
          <w:p w:rsidR="008208CE" w:rsidRPr="006905BC" w:rsidRDefault="008208CE" w:rsidP="00511B8F">
            <w:r w:rsidRPr="006905BC">
              <w:t>−6     dB(W/40 kHz)</w:t>
            </w:r>
          </w:p>
        </w:tc>
      </w:tr>
      <w:tr w:rsidR="008208CE" w:rsidRPr="006905BC" w:rsidTr="00511B8F">
        <w:tc>
          <w:tcPr>
            <w:tcW w:w="959" w:type="dxa"/>
            <w:gridSpan w:val="2"/>
          </w:tcPr>
          <w:p w:rsidR="008208CE" w:rsidRPr="006905BC" w:rsidRDefault="008208CE" w:rsidP="00511B8F"/>
          <w:p w:rsidR="008208CE" w:rsidRPr="006905BC" w:rsidRDefault="008208CE" w:rsidP="00511B8F"/>
        </w:tc>
        <w:tc>
          <w:tcPr>
            <w:tcW w:w="284" w:type="dxa"/>
            <w:gridSpan w:val="2"/>
          </w:tcPr>
          <w:p w:rsidR="008208CE" w:rsidRPr="006905BC" w:rsidRDefault="008208CE" w:rsidP="00511B8F"/>
        </w:tc>
        <w:tc>
          <w:tcPr>
            <w:tcW w:w="283" w:type="dxa"/>
            <w:gridSpan w:val="2"/>
          </w:tcPr>
          <w:p w:rsidR="008208CE" w:rsidRPr="006905BC" w:rsidRDefault="008208CE" w:rsidP="00511B8F"/>
        </w:tc>
        <w:tc>
          <w:tcPr>
            <w:tcW w:w="284" w:type="dxa"/>
            <w:gridSpan w:val="2"/>
          </w:tcPr>
          <w:p w:rsidR="008208CE" w:rsidRPr="006905BC" w:rsidRDefault="008208CE" w:rsidP="00511B8F"/>
        </w:tc>
        <w:tc>
          <w:tcPr>
            <w:tcW w:w="1275" w:type="dxa"/>
          </w:tcPr>
          <w:p w:rsidR="008208CE" w:rsidRPr="006905BC" w:rsidRDefault="008208CE" w:rsidP="00511B8F"/>
        </w:tc>
        <w:tc>
          <w:tcPr>
            <w:tcW w:w="1843" w:type="dxa"/>
          </w:tcPr>
          <w:p w:rsidR="008208CE" w:rsidRPr="006905BC" w:rsidRDefault="008208CE" w:rsidP="00511B8F"/>
        </w:tc>
        <w:tc>
          <w:tcPr>
            <w:tcW w:w="1701" w:type="dxa"/>
          </w:tcPr>
          <w:p w:rsidR="008208CE" w:rsidRPr="006905BC" w:rsidRDefault="008208CE" w:rsidP="00511B8F"/>
        </w:tc>
      </w:tr>
    </w:tbl>
    <w:p w:rsidR="008208CE" w:rsidRPr="00AA713F" w:rsidRDefault="008208CE" w:rsidP="008208CE">
      <w:pPr>
        <w:pStyle w:val="Reasons"/>
        <w:rPr>
          <w:b/>
        </w:rPr>
      </w:pPr>
      <w:r w:rsidRPr="00AA713F">
        <w:rPr>
          <w:b/>
        </w:rPr>
        <w:t>Reasons:</w:t>
      </w:r>
      <w:r w:rsidRPr="00AA713F">
        <w:rPr>
          <w:b/>
        </w:rPr>
        <w:tab/>
      </w:r>
      <w:r w:rsidRPr="00AA713F">
        <w:t>T</w:t>
      </w:r>
      <w:r w:rsidRPr="00AA713F">
        <w:rPr>
          <w:rFonts w:eastAsia="Calibri"/>
        </w:rPr>
        <w:t>o modify provisions of Resolution 902 (WRC-03) relating to earth stations located on board vessels (ESVs) per Method C.</w:t>
      </w:r>
    </w:p>
    <w:p w:rsidR="008208CE" w:rsidRDefault="008208CE" w:rsidP="008208CE">
      <w:pPr>
        <w:pStyle w:val="Proposal"/>
      </w:pPr>
      <w:r>
        <w:t>SUP</w:t>
      </w:r>
      <w:r>
        <w:tab/>
        <w:t>THA/34A8/2</w:t>
      </w:r>
    </w:p>
    <w:p w:rsidR="008208CE" w:rsidRDefault="008208CE" w:rsidP="008208CE">
      <w:pPr>
        <w:pStyle w:val="ResNo"/>
      </w:pPr>
      <w:bookmarkStart w:id="158" w:name="_Toc327364606"/>
      <w:r>
        <w:t xml:space="preserve">RESOLUTION </w:t>
      </w:r>
      <w:r>
        <w:rPr>
          <w:rStyle w:val="href"/>
        </w:rPr>
        <w:t>909</w:t>
      </w:r>
      <w:r>
        <w:t xml:space="preserve"> (WRC</w:t>
      </w:r>
      <w:r>
        <w:noBreakHyphen/>
        <w:t>12)</w:t>
      </w:r>
      <w:bookmarkEnd w:id="158"/>
    </w:p>
    <w:p w:rsidR="008208CE" w:rsidRDefault="008208CE" w:rsidP="008208CE">
      <w:pPr>
        <w:pStyle w:val="Restitle"/>
      </w:pPr>
      <w:bookmarkStart w:id="159" w:name="_Toc327364607"/>
      <w:r>
        <w:t xml:space="preserve">Provisions relating to earth stations located on board vessels </w:t>
      </w:r>
      <w:r>
        <w:br/>
        <w:t xml:space="preserve">which operate in fixed-satellite service networks in the </w:t>
      </w:r>
      <w:r>
        <w:br/>
        <w:t>uplink bands 5 925-6 425 MHz and 14-14.5 GHz</w:t>
      </w:r>
      <w:bookmarkEnd w:id="159"/>
    </w:p>
    <w:p w:rsidR="008208CE" w:rsidRDefault="008208CE" w:rsidP="008208CE">
      <w:pPr>
        <w:pStyle w:val="Reasons"/>
        <w:rPr>
          <w:bCs/>
        </w:rPr>
      </w:pPr>
      <w:r>
        <w:rPr>
          <w:b/>
        </w:rPr>
        <w:t xml:space="preserve">Reasons: </w:t>
      </w:r>
      <w:r>
        <w:rPr>
          <w:bCs/>
        </w:rPr>
        <w:t>This Resolution is no</w:t>
      </w:r>
      <w:r w:rsidRPr="005F0417">
        <w:rPr>
          <w:bCs/>
        </w:rPr>
        <w:t xml:space="preserve"> longer requir</w:t>
      </w:r>
      <w:r>
        <w:rPr>
          <w:bCs/>
        </w:rPr>
        <w:t>e</w:t>
      </w:r>
      <w:r w:rsidRPr="005F0417">
        <w:rPr>
          <w:bCs/>
        </w:rPr>
        <w:t>d.</w:t>
      </w:r>
    </w:p>
    <w:p w:rsidR="008208CE" w:rsidRDefault="008208CE" w:rsidP="00DC48CC"/>
    <w:p w:rsidR="00DC48CC" w:rsidRDefault="00DC48CC" w:rsidP="00DC48CC"/>
    <w:p w:rsidR="00DC48CC" w:rsidRDefault="00DC48CC" w:rsidP="0032202E">
      <w:pPr>
        <w:pStyle w:val="Reasons"/>
      </w:pPr>
    </w:p>
    <w:p w:rsidR="00DC48CC" w:rsidRDefault="00DC48CC">
      <w:pPr>
        <w:jc w:val="center"/>
      </w:pPr>
      <w:r>
        <w:t>______________</w:t>
      </w:r>
    </w:p>
    <w:sectPr w:rsidR="00DC48CC">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42680">
      <w:rPr>
        <w:noProof/>
        <w:lang w:val="en-US"/>
      </w:rPr>
      <w:t>C:\Users\currie\AppData\Local\Microsoft\Windows\Temporary Internet Files\Content.Outlook\PQCTSNAE\034ADD08Ed.docx</w:t>
    </w:r>
    <w:r>
      <w:fldChar w:fldCharType="end"/>
    </w:r>
    <w:r w:rsidRPr="0041348E">
      <w:rPr>
        <w:lang w:val="en-US"/>
      </w:rPr>
      <w:tab/>
    </w:r>
    <w:r>
      <w:fldChar w:fldCharType="begin"/>
    </w:r>
    <w:r>
      <w:instrText xml:space="preserve"> SAVEDATE \@ DD.MM.YY </w:instrText>
    </w:r>
    <w:r>
      <w:fldChar w:fldCharType="separate"/>
    </w:r>
    <w:r w:rsidR="00DC48CC">
      <w:rPr>
        <w:noProof/>
      </w:rPr>
      <w:t>27.10.15</w:t>
    </w:r>
    <w:r>
      <w:fldChar w:fldCharType="end"/>
    </w:r>
    <w:r w:rsidRPr="0041348E">
      <w:rPr>
        <w:lang w:val="en-US"/>
      </w:rPr>
      <w:tab/>
    </w:r>
    <w:r>
      <w:fldChar w:fldCharType="begin"/>
    </w:r>
    <w:r>
      <w:instrText xml:space="preserve"> PRINTDATE \@ DD.MM.YY </w:instrText>
    </w:r>
    <w:r>
      <w:fldChar w:fldCharType="separate"/>
    </w:r>
    <w:r w:rsidR="00B42680">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CC" w:rsidRDefault="00DC48CC" w:rsidP="00DC48CC">
    <w:pPr>
      <w:pStyle w:val="Footer"/>
    </w:pPr>
    <w:r>
      <w:fldChar w:fldCharType="begin"/>
    </w:r>
    <w:r>
      <w:instrText xml:space="preserve"> FILENAME \p  \* MERGEFORMAT </w:instrText>
    </w:r>
    <w:r>
      <w:fldChar w:fldCharType="separate"/>
    </w:r>
    <w:r>
      <w:t>P:\ENG\ITU-R\CONF-R\CMR15\000\034ADD08E.docx</w:t>
    </w:r>
    <w:r>
      <w:fldChar w:fldCharType="end"/>
    </w:r>
    <w:r>
      <w:t xml:space="preserve"> (387414)</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CC" w:rsidRDefault="00DC48CC">
    <w:pPr>
      <w:pStyle w:val="Footer"/>
    </w:pPr>
    <w:fldSimple w:instr=" FILENAME \p  \* MERGEFORMAT ">
      <w:r>
        <w:t>P:\ENG\ITU-R\CONF-R\CMR15\000\034ADD08E.docx</w:t>
      </w:r>
    </w:fldSimple>
    <w:r>
      <w:t xml:space="preserve"> (387414)</w:t>
    </w:r>
    <w:r>
      <w:tab/>
    </w:r>
    <w:r>
      <w:fldChar w:fldCharType="begin"/>
    </w:r>
    <w:r>
      <w:instrText xml:space="preserve"> SAVEDATE \@ DD.MM.YY </w:instrText>
    </w:r>
    <w:r>
      <w:fldChar w:fldCharType="separate"/>
    </w:r>
    <w:r>
      <w:t>27.10.15</w:t>
    </w:r>
    <w:r>
      <w:fldChar w:fldCharType="end"/>
    </w:r>
    <w:r>
      <w:tab/>
    </w:r>
    <w:r>
      <w:fldChar w:fldCharType="begin"/>
    </w:r>
    <w:r>
      <w:instrText xml:space="preserve"> PRINTDATE \@ DD.MM.YY </w:instrText>
    </w:r>
    <w:r>
      <w:fldChar w:fldCharType="separate"/>
    </w:r>
    <w:r>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C48CC">
      <w:rPr>
        <w:noProof/>
      </w:rPr>
      <w:t>6</w:t>
    </w:r>
    <w:r>
      <w:fldChar w:fldCharType="end"/>
    </w:r>
  </w:p>
  <w:p w:rsidR="00A066F1" w:rsidRPr="00A066F1" w:rsidRDefault="00187BD9" w:rsidP="00241FA2">
    <w:pPr>
      <w:pStyle w:val="Header"/>
    </w:pPr>
    <w:r>
      <w:t>CMR1</w:t>
    </w:r>
    <w:r w:rsidR="00241FA2">
      <w:t>5</w:t>
    </w:r>
    <w:r w:rsidR="00A066F1">
      <w:t>/</w:t>
    </w:r>
    <w:bookmarkStart w:id="160" w:name="OLE_LINK1"/>
    <w:bookmarkStart w:id="161" w:name="OLE_LINK2"/>
    <w:bookmarkStart w:id="162" w:name="OLE_LINK3"/>
    <w:r w:rsidR="00EB55C6">
      <w:t>34(Add.8)</w:t>
    </w:r>
    <w:bookmarkEnd w:id="160"/>
    <w:bookmarkEnd w:id="161"/>
    <w:bookmarkEnd w:id="16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78548DF"/>
    <w:multiLevelType w:val="hybridMultilevel"/>
    <w:tmpl w:val="74347CA8"/>
    <w:lvl w:ilvl="0" w:tplc="18DAB51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4F7A5F"/>
    <w:multiLevelType w:val="hybridMultilevel"/>
    <w:tmpl w:val="EDC67D6C"/>
    <w:lvl w:ilvl="0" w:tplc="3B407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5A6"/>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647"/>
    <w:rsid w:val="00187BD9"/>
    <w:rsid w:val="00190B55"/>
    <w:rsid w:val="001C3B5F"/>
    <w:rsid w:val="001D058F"/>
    <w:rsid w:val="002009EA"/>
    <w:rsid w:val="00202CA0"/>
    <w:rsid w:val="00214D3C"/>
    <w:rsid w:val="00216B6D"/>
    <w:rsid w:val="00241FA2"/>
    <w:rsid w:val="00252E15"/>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328A5"/>
    <w:rsid w:val="00492075"/>
    <w:rsid w:val="004969AD"/>
    <w:rsid w:val="004A26C4"/>
    <w:rsid w:val="004B13CB"/>
    <w:rsid w:val="004D26EA"/>
    <w:rsid w:val="004D2BFB"/>
    <w:rsid w:val="004D5D5C"/>
    <w:rsid w:val="0050139F"/>
    <w:rsid w:val="0055140B"/>
    <w:rsid w:val="00557ACE"/>
    <w:rsid w:val="005964AB"/>
    <w:rsid w:val="005C099A"/>
    <w:rsid w:val="005C31A5"/>
    <w:rsid w:val="005E10C9"/>
    <w:rsid w:val="005E290B"/>
    <w:rsid w:val="005E61DD"/>
    <w:rsid w:val="005E74B5"/>
    <w:rsid w:val="006023DF"/>
    <w:rsid w:val="00616219"/>
    <w:rsid w:val="00646600"/>
    <w:rsid w:val="00657DE0"/>
    <w:rsid w:val="00685313"/>
    <w:rsid w:val="00692833"/>
    <w:rsid w:val="006A6E9B"/>
    <w:rsid w:val="006B7C2A"/>
    <w:rsid w:val="006C23DA"/>
    <w:rsid w:val="006D0B32"/>
    <w:rsid w:val="006E3D45"/>
    <w:rsid w:val="007149F9"/>
    <w:rsid w:val="00733A30"/>
    <w:rsid w:val="00745AEE"/>
    <w:rsid w:val="00750F10"/>
    <w:rsid w:val="007742CA"/>
    <w:rsid w:val="00790D70"/>
    <w:rsid w:val="007A2FBF"/>
    <w:rsid w:val="007A6F1F"/>
    <w:rsid w:val="007D5320"/>
    <w:rsid w:val="007E1951"/>
    <w:rsid w:val="00800972"/>
    <w:rsid w:val="00804475"/>
    <w:rsid w:val="00805859"/>
    <w:rsid w:val="00811633"/>
    <w:rsid w:val="008208CE"/>
    <w:rsid w:val="00841216"/>
    <w:rsid w:val="008522CB"/>
    <w:rsid w:val="00872FC8"/>
    <w:rsid w:val="008845D0"/>
    <w:rsid w:val="00884D60"/>
    <w:rsid w:val="008B43F2"/>
    <w:rsid w:val="008B6CFF"/>
    <w:rsid w:val="008D3F5A"/>
    <w:rsid w:val="008E031B"/>
    <w:rsid w:val="008E2BC0"/>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2680"/>
    <w:rsid w:val="00B639E9"/>
    <w:rsid w:val="00B700AC"/>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48CC"/>
    <w:rsid w:val="00DD44AF"/>
    <w:rsid w:val="00DE2AC3"/>
    <w:rsid w:val="00DE5692"/>
    <w:rsid w:val="00DF4BC6"/>
    <w:rsid w:val="00E03C94"/>
    <w:rsid w:val="00E205BC"/>
    <w:rsid w:val="00E26226"/>
    <w:rsid w:val="00E45D05"/>
    <w:rsid w:val="00E55816"/>
    <w:rsid w:val="00E55AEF"/>
    <w:rsid w:val="00E976C1"/>
    <w:rsid w:val="00EA12E5"/>
    <w:rsid w:val="00EB55C6"/>
    <w:rsid w:val="00EE00B2"/>
    <w:rsid w:val="00EF1932"/>
    <w:rsid w:val="00F02766"/>
    <w:rsid w:val="00F05BD4"/>
    <w:rsid w:val="00F6155B"/>
    <w:rsid w:val="00F65C19"/>
    <w:rsid w:val="00FB2ED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33EBF2E-4C6C-4AD9-AC37-ECB2226C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ListParagraph">
    <w:name w:val="List Paragraph"/>
    <w:basedOn w:val="Normal"/>
    <w:uiPriority w:val="34"/>
    <w:qFormat/>
    <w:rsid w:val="000065A6"/>
    <w:pPr>
      <w:ind w:left="720"/>
      <w:contextualSpacing/>
    </w:pPr>
  </w:style>
  <w:style w:type="table" w:styleId="TableGrid">
    <w:name w:val="Table Grid"/>
    <w:basedOn w:val="TableNormal"/>
    <w:rsid w:val="000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R15-WRC15-C-0034!A8!MSW-E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A0F9E-9931-4AC4-AC93-6E95ED073CE4}">
  <ds:schemaRefs>
    <ds:schemaRef ds:uri="http://schemas.openxmlformats.org/package/2006/metadata/core-properties"/>
    <ds:schemaRef ds:uri="32a1a8c5-2265-4ebc-b7a0-2071e2c5c9bb"/>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899A6E7-D9B5-426F-A8EE-7DAD7247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6</Pages>
  <Words>1700</Words>
  <Characters>9820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R15-WRC15-C-0034!A8!MSW-E</vt:lpstr>
    </vt:vector>
  </TitlesOfParts>
  <Manager>General Secretariat - Pool</Manager>
  <Company>International Telecommunication Union (ITU)</Company>
  <LinksUpToDate>false</LinksUpToDate>
  <CharactersWithSpaces>11498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R15-WRC15-C-0034!A8!MSW-E</dc:title>
  <dc:subject>World Radiocommunication Conference - 2015</dc:subject>
  <dc:creator>Documents Proposals Manager (DPM)</dc:creator>
  <cp:keywords>DPM_v5.2015.9.16_prod</cp:keywords>
  <dc:description>Uploaded on 2015.07.06</dc:description>
  <cp:lastModifiedBy>Hourican, Maria</cp:lastModifiedBy>
  <cp:revision>3</cp:revision>
  <cp:lastPrinted>2015-10-27T15:56:00Z</cp:lastPrinted>
  <dcterms:created xsi:type="dcterms:W3CDTF">2015-10-27T15:56:00Z</dcterms:created>
  <dcterms:modified xsi:type="dcterms:W3CDTF">2015-10-27T16:06:00Z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