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392C0C" w:rsidRDefault="003E1608" w:rsidP="00392C0C">
            <w:pPr>
              <w:pStyle w:val="Adress"/>
              <w:framePr w:hSpace="0" w:wrap="auto" w:xAlign="left" w:yAlign="inline"/>
              <w:rPr>
                <w:rtl/>
              </w:rPr>
            </w:pPr>
            <w:r w:rsidRPr="00392C0C">
              <w:rPr>
                <w:rtl/>
              </w:rPr>
              <w:t xml:space="preserve">الإضافة </w:t>
            </w:r>
            <w:r w:rsidRPr="00392C0C">
              <w:t>9</w:t>
            </w:r>
            <w:r w:rsidRPr="00392C0C">
              <w:br/>
            </w:r>
            <w:r w:rsidRPr="00392C0C">
              <w:rPr>
                <w:rtl/>
              </w:rPr>
              <w:t>للوثيقة</w:t>
            </w:r>
            <w:r w:rsidR="00392C0C">
              <w:rPr>
                <w:rFonts w:hint="eastAsia"/>
                <w:rtl/>
              </w:rPr>
              <w:t> </w:t>
            </w:r>
            <w:r w:rsidRPr="00392C0C">
              <w:t>37-</w:t>
            </w:r>
            <w:r w:rsidR="00392C0C">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392C0C" w:rsidRDefault="00764079" w:rsidP="00D44350">
            <w:pPr>
              <w:pStyle w:val="Adress"/>
              <w:framePr w:hSpace="0" w:wrap="auto" w:xAlign="left" w:yAlign="inline"/>
              <w:rPr>
                <w:rtl/>
              </w:rPr>
            </w:pPr>
            <w:r w:rsidRPr="00392C0C">
              <w:rPr>
                <w:rFonts w:eastAsia="SimSun"/>
              </w:rPr>
              <w:t>9</w:t>
            </w:r>
            <w:r w:rsidRPr="00392C0C">
              <w:rPr>
                <w:rFonts w:eastAsia="SimSun"/>
                <w:rtl/>
              </w:rPr>
              <w:t xml:space="preserve"> أكتوبر </w:t>
            </w:r>
            <w:r w:rsidRPr="00392C0C">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392C0C" w:rsidRDefault="00764079" w:rsidP="00D44350">
            <w:pPr>
              <w:pStyle w:val="Adress"/>
              <w:framePr w:hSpace="0" w:wrap="auto" w:xAlign="left" w:yAlign="inline"/>
              <w:rPr>
                <w:rFonts w:eastAsia="SimSun" w:hint="eastAsia"/>
              </w:rPr>
            </w:pPr>
            <w:r w:rsidRPr="00392C0C">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كندا/الولايات المتحدة الأمريكية</w:t>
            </w:r>
          </w:p>
        </w:tc>
      </w:tr>
      <w:tr w:rsidR="00764079" w:rsidTr="003E1608">
        <w:trPr>
          <w:cantSplit/>
        </w:trPr>
        <w:tc>
          <w:tcPr>
            <w:tcW w:w="9672" w:type="dxa"/>
            <w:gridSpan w:val="2"/>
          </w:tcPr>
          <w:p w:rsidR="00764079" w:rsidRPr="00BD6EF3" w:rsidRDefault="009E776D" w:rsidP="00D44350">
            <w:pPr>
              <w:pStyle w:val="Title1"/>
              <w:spacing w:before="240"/>
              <w:rPr>
                <w:rtl/>
              </w:rPr>
            </w:pPr>
            <w:r>
              <w:rPr>
                <w:rFonts w:hint="cs"/>
                <w:rtl/>
              </w:rPr>
              <w:t>مقترحات بشأن أعمال ال</w:t>
            </w:r>
            <w:r w:rsidR="003957C0">
              <w:rPr>
                <w:rFonts w:hint="cs"/>
                <w:rtl/>
              </w:rPr>
              <w:t>‍</w:t>
            </w:r>
            <w:r>
              <w:rPr>
                <w:rFonts w:hint="cs"/>
                <w:rtl/>
              </w:rPr>
              <w:t>مؤت</w:t>
            </w:r>
            <w:r w:rsidR="003957C0">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9E776D">
            <w:pPr>
              <w:pStyle w:val="Agendaitem"/>
              <w:spacing w:before="240" w:line="192" w:lineRule="auto"/>
            </w:pPr>
            <w:r w:rsidRPr="008204AC">
              <w:rPr>
                <w:rtl/>
              </w:rPr>
              <w:t xml:space="preserve">البنـد </w:t>
            </w:r>
            <w:r w:rsidR="009E776D">
              <w:rPr>
                <w:lang w:val="en-US"/>
              </w:rPr>
              <w:t>(I)7</w:t>
            </w:r>
            <w:r w:rsidRPr="008204AC">
              <w:rPr>
                <w:rtl/>
              </w:rPr>
              <w:t xml:space="preserve"> من جدول الأعمال</w:t>
            </w:r>
          </w:p>
        </w:tc>
      </w:tr>
    </w:tbl>
    <w:p w:rsidR="001D597A" w:rsidRPr="00431196" w:rsidRDefault="00CB7B13" w:rsidP="00B4282B">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B4282B">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w:t>
      </w:r>
      <w:r w:rsidR="00B4282B">
        <w:rPr>
          <w:rFonts w:eastAsia="SimSun" w:hint="eastAsia"/>
          <w:rtl/>
        </w:rPr>
        <w:t> </w:t>
      </w:r>
      <w:r w:rsidRPr="00431196">
        <w:rPr>
          <w:rFonts w:eastAsia="SimSun" w:hint="cs"/>
          <w:rtl/>
        </w:rPr>
        <w:t xml:space="preserve">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w:t>
      </w:r>
      <w:r w:rsidR="009E776D">
        <w:rPr>
          <w:rFonts w:eastAsia="SimSun" w:hint="eastAsia"/>
        </w:rPr>
        <w:t> </w:t>
      </w:r>
      <w:r w:rsidRPr="00431196">
        <w:rPr>
          <w:rFonts w:eastAsia="SimSun" w:hint="cs"/>
          <w:rtl/>
        </w:rPr>
        <w:t xml:space="preserve">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B4282B">
        <w:rPr>
          <w:rFonts w:eastAsia="SimSun" w:hint="cs"/>
          <w:rtl/>
        </w:rPr>
        <w:t>ّ</w:t>
      </w:r>
      <w:r w:rsidRPr="00431196">
        <w:rPr>
          <w:rFonts w:eastAsia="SimSun" w:hint="cs"/>
          <w:rtl/>
        </w:rPr>
        <w:t>ال والاقتصادي للترددات الراديوية وأي مدارات مرتبطة بها، بما</w:t>
      </w:r>
      <w:r w:rsidR="00B4282B">
        <w:rPr>
          <w:rFonts w:eastAsia="SimSun" w:hint="eastAsia"/>
          <w:rtl/>
        </w:rPr>
        <w:t> </w:t>
      </w:r>
      <w:r w:rsidRPr="00431196">
        <w:rPr>
          <w:rFonts w:eastAsia="SimSun" w:hint="cs"/>
          <w:rtl/>
        </w:rPr>
        <w:t>فيها مدار السواتل المستقرة بالنسبة إلى الأرض؛</w:t>
      </w:r>
    </w:p>
    <w:p w:rsidR="001D597A" w:rsidRPr="00431196" w:rsidRDefault="00CB7B13" w:rsidP="00C2775E">
      <w:pPr>
        <w:rPr>
          <w:rFonts w:eastAsia="SimSun"/>
        </w:rPr>
      </w:pPr>
      <w:r w:rsidRPr="00431196">
        <w:rPr>
          <w:rFonts w:eastAsia="SimSun"/>
        </w:rPr>
        <w:t>(I)7</w:t>
      </w:r>
      <w:r w:rsidRPr="00431196">
        <w:rPr>
          <w:rFonts w:eastAsia="SimSun"/>
        </w:rPr>
        <w:tab/>
      </w:r>
      <w:r w:rsidRPr="00431196">
        <w:rPr>
          <w:rFonts w:eastAsia="SimSun" w:hint="cs"/>
          <w:rtl/>
        </w:rPr>
        <w:t xml:space="preserve">المسألة </w:t>
      </w:r>
      <w:r w:rsidRPr="00431196">
        <w:rPr>
          <w:rFonts w:eastAsia="SimSun"/>
        </w:rPr>
        <w:t>I</w:t>
      </w:r>
      <w:r w:rsidRPr="00431196">
        <w:rPr>
          <w:rFonts w:eastAsia="SimSun" w:hint="cs"/>
          <w:rtl/>
        </w:rPr>
        <w:t xml:space="preserve"> - أسلوب ممكن للتخفيف من وطأة مسألة العدد المفرط لبطاقات التبليغ عن الشبكات الساتلية</w:t>
      </w:r>
    </w:p>
    <w:p w:rsidR="00F16602" w:rsidRDefault="003957C0" w:rsidP="009E776D">
      <w:pPr>
        <w:pStyle w:val="Headingb"/>
        <w:rPr>
          <w:rtl/>
        </w:rPr>
      </w:pPr>
      <w:r>
        <w:rPr>
          <w:rFonts w:hint="cs"/>
          <w:rtl/>
        </w:rPr>
        <w:t>معلومات أ</w:t>
      </w:r>
      <w:r w:rsidR="009E776D">
        <w:rPr>
          <w:rFonts w:hint="cs"/>
          <w:rtl/>
        </w:rPr>
        <w:t>ساسية</w:t>
      </w:r>
    </w:p>
    <w:p w:rsidR="009E776D" w:rsidRDefault="000D2108" w:rsidP="00B4282B">
      <w:pPr>
        <w:rPr>
          <w:rtl/>
          <w:lang w:bidi="ar-EG"/>
        </w:rPr>
      </w:pPr>
      <w:r>
        <w:rPr>
          <w:rFonts w:hint="cs"/>
          <w:rtl/>
          <w:lang w:bidi="ar-EG"/>
        </w:rPr>
        <w:t xml:space="preserve">تركز </w:t>
      </w:r>
      <w:r w:rsidR="00B4282B">
        <w:rPr>
          <w:rFonts w:hint="cs"/>
          <w:rtl/>
          <w:lang w:bidi="ar-EG"/>
        </w:rPr>
        <w:t>ال</w:t>
      </w:r>
      <w:r w:rsidRPr="00431196">
        <w:rPr>
          <w:rFonts w:eastAsia="SimSun" w:hint="cs"/>
          <w:rtl/>
        </w:rPr>
        <w:t xml:space="preserve">مسألة </w:t>
      </w:r>
      <w:r w:rsidRPr="00431196">
        <w:rPr>
          <w:rFonts w:eastAsia="SimSun"/>
        </w:rPr>
        <w:t>I</w:t>
      </w:r>
      <w:r>
        <w:rPr>
          <w:rFonts w:eastAsia="SimSun" w:hint="cs"/>
          <w:rtl/>
        </w:rPr>
        <w:t xml:space="preserve"> على المسألة المحتملة للعدد المفرط لبطاقات التبليغ عن الشبكات الساتلية من منظورين اثنين هما العدد المفرط المزعوم لبطاقات التبليغ في مرحلة التنسيق (</w:t>
      </w:r>
      <w:r>
        <w:t>(CR/C</w:t>
      </w:r>
      <w:r>
        <w:rPr>
          <w:rFonts w:hint="cs"/>
          <w:rtl/>
        </w:rPr>
        <w:t>، والعدد المفرط المزعوم لبطاقات التبليغ في مرحلة النشر المسبق</w:t>
      </w:r>
      <w:r w:rsidR="00B4282B">
        <w:rPr>
          <w:rFonts w:hint="eastAsia"/>
          <w:rtl/>
        </w:rPr>
        <w:t> </w:t>
      </w:r>
      <w:r>
        <w:t>(API)</w:t>
      </w:r>
      <w:r>
        <w:rPr>
          <w:rFonts w:hint="cs"/>
          <w:rtl/>
        </w:rPr>
        <w:t xml:space="preserve">. وميدان المشكلات المفترضة الذي تستهدفه المسألة </w:t>
      </w:r>
      <w:r>
        <w:t>I</w:t>
      </w:r>
      <w:r>
        <w:rPr>
          <w:rFonts w:hint="cs"/>
          <w:rtl/>
          <w:lang w:bidi="ar-EG"/>
        </w:rPr>
        <w:t xml:space="preserve"> لا يتعلق بإدارة تُطبق بصورة خاطئة لوائح الراديو بل بالملاحظة التي تشير إلى أن الكثير من الإدارات ذات بطاقات التبليغ الشبكية النشيطة </w:t>
      </w:r>
      <w:r w:rsidR="00F73CFD">
        <w:rPr>
          <w:rFonts w:hint="cs"/>
          <w:rtl/>
          <w:lang w:bidi="ar-EG"/>
        </w:rPr>
        <w:t>(</w:t>
      </w:r>
      <w:r>
        <w:rPr>
          <w:rFonts w:hint="cs"/>
          <w:rtl/>
          <w:lang w:bidi="ar-EG"/>
        </w:rPr>
        <w:t xml:space="preserve">أي </w:t>
      </w:r>
      <w:r>
        <w:t>API</w:t>
      </w:r>
      <w:r>
        <w:rPr>
          <w:rFonts w:hint="cs"/>
          <w:rtl/>
        </w:rPr>
        <w:t xml:space="preserve"> و</w:t>
      </w:r>
      <w:r>
        <w:t>CR/C</w:t>
      </w:r>
      <w:r w:rsidR="00F73CFD">
        <w:rPr>
          <w:rFonts w:hint="cs"/>
          <w:rtl/>
          <w:lang w:bidi="ar-EG"/>
        </w:rPr>
        <w:t xml:space="preserve">) </w:t>
      </w:r>
      <w:r>
        <w:rPr>
          <w:rFonts w:hint="cs"/>
          <w:rtl/>
          <w:lang w:bidi="ar-EG"/>
        </w:rPr>
        <w:t>لا</w:t>
      </w:r>
      <w:r w:rsidR="00B4282B">
        <w:rPr>
          <w:rFonts w:hint="eastAsia"/>
          <w:rtl/>
          <w:lang w:bidi="ar-EG"/>
        </w:rPr>
        <w:t> </w:t>
      </w:r>
      <w:r>
        <w:rPr>
          <w:rFonts w:hint="cs"/>
          <w:rtl/>
          <w:lang w:bidi="ar-EG"/>
        </w:rPr>
        <w:t xml:space="preserve">تلغي بصورة مؤكدة </w:t>
      </w:r>
      <w:r w:rsidR="00F73CFD">
        <w:rPr>
          <w:rFonts w:hint="cs"/>
          <w:rtl/>
          <w:lang w:bidi="ar-EG"/>
        </w:rPr>
        <w:t>بطاقات تبليغها حتى بعد أن يتضح أن تخصيصات التردد لن توضع موضع الاستخدام قبل نهاية العمر التنظيمي لبطاقة التبليغ. ولا تتضمن لوائح الراديو شرطاً يُلزم الإدارات بأن تلغي بشكل مؤكد بطاقة تبليغ في أي وقت. وس</w:t>
      </w:r>
      <w:r w:rsidR="008177C9">
        <w:rPr>
          <w:rFonts w:hint="cs"/>
          <w:rtl/>
          <w:lang w:bidi="ar-EG"/>
        </w:rPr>
        <w:t>ت</w:t>
      </w:r>
      <w:r w:rsidR="00F73CFD">
        <w:rPr>
          <w:rFonts w:hint="cs"/>
          <w:rtl/>
          <w:lang w:bidi="ar-EG"/>
        </w:rPr>
        <w:t>ؤدي إضافة المزيد من التزامات بطاقات التبليغ المؤقتة إلى زيادة الأعباء والتكاليف على الإدارات وعلى المكتب دون أن يكون لذلك أي أثر حقيقي على توافر موارد المدار/الطيف أو الحد من عبء التنسيق بالنسبة للإدارة الساعية بنشاط إلى تنفيذ بطاقات شبكاتها الساتلية.</w:t>
      </w:r>
    </w:p>
    <w:p w:rsidR="009E776D" w:rsidRDefault="00F73CFD" w:rsidP="00B4282B">
      <w:r>
        <w:rPr>
          <w:rFonts w:hint="cs"/>
          <w:rtl/>
          <w:lang w:bidi="ar-EG"/>
        </w:rPr>
        <w:t xml:space="preserve">وتوافق الولايات المتحدة وكندا على أنه ينبغي حث الإدارات، بموجب المبادئ الهادية للاتحاد الدولي للاتصالات، على عدم تقديم بطاقات تبليغ </w:t>
      </w:r>
      <w:r w:rsidR="008177C9">
        <w:rPr>
          <w:rFonts w:hint="cs"/>
          <w:rtl/>
          <w:lang w:bidi="ar-EG"/>
        </w:rPr>
        <w:t>عن الشبكات الساتلية</w:t>
      </w:r>
      <w:r>
        <w:rPr>
          <w:rFonts w:hint="cs"/>
          <w:rtl/>
          <w:lang w:bidi="ar-EG"/>
        </w:rPr>
        <w:t xml:space="preserve"> إلى الاتحاد الدولي للاتصالات لا </w:t>
      </w:r>
      <w:r w:rsidR="008177C9">
        <w:rPr>
          <w:rFonts w:hint="cs"/>
          <w:rtl/>
          <w:lang w:bidi="ar-EG"/>
        </w:rPr>
        <w:t>تعتزم</w:t>
      </w:r>
      <w:r>
        <w:rPr>
          <w:rFonts w:hint="cs"/>
          <w:rtl/>
          <w:lang w:bidi="ar-EG"/>
        </w:rPr>
        <w:t xml:space="preserve"> تنفيذها، أو التخلي عن بطاقات التبليغ المرفوعة قبلاً التي لم تعد الإدارات عازمة أو قادرة على تنفيذها. على أن الولايات المتحدة وكندا لا توافقان على أن إنشاء آليات </w:t>
      </w:r>
      <w:r>
        <w:rPr>
          <w:rFonts w:hint="cs"/>
          <w:rtl/>
          <w:lang w:bidi="ar-EG"/>
        </w:rPr>
        <w:lastRenderedPageBreak/>
        <w:t>إلزامية لهذه الأغراض هو أمر ضروري أو مبرر. وهناك بالفعل اكتظاظ في بعض نطاقات التردد الساتلي،</w:t>
      </w:r>
      <w:r w:rsidR="00F878FB">
        <w:rPr>
          <w:rFonts w:hint="cs"/>
          <w:rtl/>
          <w:lang w:bidi="ar-EG"/>
        </w:rPr>
        <w:t xml:space="preserve"> ويعتبر تحديد موارد المدار/الطيف المتاحة مهمة عسيرة في الغالب. وفي الوقت نفسه فإن عملية التنسيق الحالية، التي صقلتها السنين، تمنح عموماً الإدارات وجهات التشغيل العازمة على  تنفيذ بطاقات تبليغها الساتلية فرصة القيام بذلك.</w:t>
      </w:r>
      <w:r>
        <w:rPr>
          <w:rFonts w:hint="cs"/>
          <w:rtl/>
          <w:lang w:bidi="ar-EG"/>
        </w:rPr>
        <w:t xml:space="preserve"> </w:t>
      </w:r>
      <w:r w:rsidR="00F878FB">
        <w:rPr>
          <w:rFonts w:hint="cs"/>
          <w:rtl/>
          <w:lang w:bidi="ar-EG"/>
        </w:rPr>
        <w:t xml:space="preserve">ورغم أن الوضع لا يتسم بالكمال فإن التحسينات على المواد </w:t>
      </w:r>
      <w:r w:rsidR="00F878FB" w:rsidRPr="00F878FB">
        <w:rPr>
          <w:rFonts w:cs="Times New Roman" w:hint="cs"/>
          <w:szCs w:val="22"/>
          <w:rtl/>
          <w:lang w:bidi="ar-EG"/>
        </w:rPr>
        <w:t>9</w:t>
      </w:r>
      <w:r w:rsidR="00F878FB">
        <w:rPr>
          <w:rFonts w:hint="cs"/>
          <w:rtl/>
          <w:lang w:bidi="ar-EG"/>
        </w:rPr>
        <w:t>، و</w:t>
      </w:r>
      <w:r w:rsidR="00F878FB" w:rsidRPr="00F878FB">
        <w:rPr>
          <w:rFonts w:cs="Times New Roman" w:hint="cs"/>
          <w:szCs w:val="22"/>
          <w:rtl/>
          <w:lang w:bidi="ar-EG"/>
        </w:rPr>
        <w:t>11</w:t>
      </w:r>
      <w:r w:rsidR="00F878FB">
        <w:rPr>
          <w:rFonts w:hint="cs"/>
          <w:rtl/>
          <w:lang w:bidi="ar-EG"/>
        </w:rPr>
        <w:t>، و</w:t>
      </w:r>
      <w:r w:rsidR="00F878FB" w:rsidRPr="00F878FB">
        <w:rPr>
          <w:rFonts w:cs="Times New Roman" w:hint="cs"/>
          <w:szCs w:val="22"/>
          <w:rtl/>
          <w:lang w:bidi="ar-EG"/>
        </w:rPr>
        <w:t>13</w:t>
      </w:r>
      <w:r w:rsidR="00F878FB">
        <w:rPr>
          <w:rFonts w:hint="cs"/>
          <w:rtl/>
          <w:lang w:bidi="ar-EG"/>
        </w:rPr>
        <w:t xml:space="preserve"> والتذييلات </w:t>
      </w:r>
      <w:r w:rsidR="00F878FB" w:rsidRPr="00F878FB">
        <w:rPr>
          <w:rFonts w:cs="Times New Roman" w:hint="cs"/>
          <w:szCs w:val="22"/>
          <w:rtl/>
          <w:lang w:bidi="ar-EG"/>
        </w:rPr>
        <w:t>30</w:t>
      </w:r>
      <w:r w:rsidR="00F878FB">
        <w:rPr>
          <w:rFonts w:hint="cs"/>
          <w:rtl/>
          <w:lang w:bidi="ar-EG"/>
        </w:rPr>
        <w:t xml:space="preserve"> و</w:t>
      </w:r>
      <w:r w:rsidR="00B4282B" w:rsidRPr="00B4282B">
        <w:rPr>
          <w:rFonts w:cs="Times New Roman"/>
          <w:bCs/>
          <w:szCs w:val="22"/>
        </w:rPr>
        <w:t>30A</w:t>
      </w:r>
      <w:r w:rsidR="00F878FB">
        <w:rPr>
          <w:rFonts w:hint="cs"/>
          <w:bCs/>
          <w:rtl/>
        </w:rPr>
        <w:t xml:space="preserve"> </w:t>
      </w:r>
      <w:r w:rsidR="00F878FB" w:rsidRPr="00F878FB">
        <w:rPr>
          <w:rFonts w:hint="cs"/>
          <w:b/>
          <w:rtl/>
        </w:rPr>
        <w:t>و</w:t>
      </w:r>
      <w:r w:rsidR="00B4282B" w:rsidRPr="00B4282B">
        <w:rPr>
          <w:rFonts w:cs="Times New Roman"/>
          <w:bCs/>
          <w:szCs w:val="22"/>
        </w:rPr>
        <w:t>30B</w:t>
      </w:r>
      <w:r w:rsidR="00F878FB">
        <w:rPr>
          <w:rFonts w:hint="cs"/>
          <w:bCs/>
          <w:rtl/>
        </w:rPr>
        <w:t xml:space="preserve"> </w:t>
      </w:r>
      <w:r w:rsidR="00F878FB">
        <w:rPr>
          <w:rFonts w:hint="cs"/>
          <w:rtl/>
        </w:rPr>
        <w:t>قد قللت من الحواجز المصطنعة وغير الضرورية القائمة في</w:t>
      </w:r>
      <w:r w:rsidR="00B4282B">
        <w:rPr>
          <w:rFonts w:hint="eastAsia"/>
          <w:rtl/>
        </w:rPr>
        <w:t> </w:t>
      </w:r>
      <w:r w:rsidR="00F878FB">
        <w:rPr>
          <w:rFonts w:hint="cs"/>
          <w:rtl/>
        </w:rPr>
        <w:t>وجه الوافدين الجدد، وزودت مكتب الاتصالات الراديوية بأدوات محسنة لضمان أن السجل الأساسي الدولي للترددات يحتوي فحسب على الشبكات المستخدمة فعلا</w:t>
      </w:r>
      <w:r w:rsidR="00B4282B">
        <w:rPr>
          <w:rFonts w:hint="cs"/>
          <w:rtl/>
          <w:lang w:bidi="ar-EG"/>
        </w:rPr>
        <w:t>ً</w:t>
      </w:r>
      <w:r w:rsidR="00F878FB">
        <w:rPr>
          <w:rFonts w:hint="cs"/>
          <w:rtl/>
        </w:rPr>
        <w:t>.</w:t>
      </w:r>
    </w:p>
    <w:p w:rsidR="00E97C0D" w:rsidRPr="00E97C0D" w:rsidRDefault="00E97C0D" w:rsidP="00FC20A0">
      <w:pPr>
        <w:rPr>
          <w:noProof/>
          <w:rtl/>
        </w:rPr>
      </w:pPr>
      <w:r w:rsidRPr="00E97C0D">
        <w:rPr>
          <w:rFonts w:hint="cs"/>
          <w:noProof/>
          <w:rtl/>
          <w:lang w:bidi="ar-EG"/>
        </w:rPr>
        <w:t xml:space="preserve">ولهذه الغاية فإن الولايات المتحدة وكندا لا تريان أن أي مراجعة لعملية </w:t>
      </w:r>
      <w:r w:rsidRPr="00E97C0D">
        <w:rPr>
          <w:noProof/>
        </w:rPr>
        <w:t>CR/C</w:t>
      </w:r>
      <w:r w:rsidRPr="00E97C0D">
        <w:rPr>
          <w:rFonts w:hint="cs"/>
          <w:noProof/>
          <w:rtl/>
        </w:rPr>
        <w:t xml:space="preserve"> تضيف التزامات إضافية لبطاقات التبليغ خلال العمر التنظيمي يمكن أن تؤدي إلى الحد من عدد بطاقات التبليغ في قاعدة بيانات الاتحاد الدولي للاتصالات. كما أن من غير المحتمل أن تيسِّر من مسار بطاقات التبليغ الذي تتبعه الإدارة لتنفيذ شبكاتها الساتلية المزمعة. وهكذا فإن الولايات المتحدة وكندا تقترحان عدم إدخال أي تغيير على المكوِّن </w:t>
      </w:r>
      <w:r w:rsidRPr="00E97C0D">
        <w:rPr>
          <w:noProof/>
        </w:rPr>
        <w:t>CR/C</w:t>
      </w:r>
      <w:r w:rsidRPr="00E97C0D">
        <w:rPr>
          <w:rFonts w:hint="cs"/>
          <w:noProof/>
          <w:rtl/>
        </w:rPr>
        <w:t xml:space="preserve"> من المسألة </w:t>
      </w:r>
      <w:r w:rsidRPr="00E97C0D">
        <w:rPr>
          <w:noProof/>
        </w:rPr>
        <w:t>I</w:t>
      </w:r>
      <w:r w:rsidRPr="00E97C0D">
        <w:rPr>
          <w:rFonts w:hint="cs"/>
          <w:noProof/>
          <w:rtl/>
          <w:lang w:bidi="ar-EG"/>
        </w:rPr>
        <w:t xml:space="preserve"> (بما يتفق مع الطريقة</w:t>
      </w:r>
      <w:r w:rsidR="00FC20A0">
        <w:rPr>
          <w:rFonts w:hint="cs"/>
          <w:noProof/>
          <w:rtl/>
          <w:lang w:bidi="ar-EG"/>
        </w:rPr>
        <w:t xml:space="preserve"> </w:t>
      </w:r>
      <w:bookmarkStart w:id="1" w:name="_GoBack"/>
      <w:bookmarkEnd w:id="1"/>
      <w:r w:rsidR="00057701">
        <w:rPr>
          <w:rFonts w:asciiTheme="majorBidi" w:hAnsiTheme="majorBidi" w:cstheme="majorBidi"/>
          <w:noProof/>
          <w:szCs w:val="22"/>
        </w:rPr>
        <w:t>4.I1</w:t>
      </w:r>
      <w:r w:rsidR="00057701">
        <w:rPr>
          <w:rFonts w:hint="cs"/>
          <w:noProof/>
          <w:rtl/>
        </w:rPr>
        <w:t xml:space="preserve"> </w:t>
      </w:r>
      <w:r w:rsidRPr="00E97C0D">
        <w:rPr>
          <w:rFonts w:hint="cs"/>
          <w:noProof/>
          <w:rtl/>
        </w:rPr>
        <w:t>في الفقرة</w:t>
      </w:r>
      <w:r w:rsidR="00830002">
        <w:rPr>
          <w:rFonts w:hint="eastAsia"/>
          <w:noProof/>
          <w:rtl/>
          <w:lang w:bidi="ar-EG"/>
        </w:rPr>
        <w:t> </w:t>
      </w:r>
      <w:r w:rsidR="000971AE">
        <w:rPr>
          <w:rFonts w:asciiTheme="majorBidi" w:hAnsiTheme="majorBidi" w:cstheme="majorBidi"/>
          <w:noProof/>
          <w:szCs w:val="22"/>
        </w:rPr>
        <w:t>4.5.1.9/7/5</w:t>
      </w:r>
      <w:r w:rsidRPr="00E97C0D">
        <w:rPr>
          <w:rFonts w:hint="cs"/>
          <w:noProof/>
          <w:rtl/>
        </w:rPr>
        <w:t xml:space="preserve"> من</w:t>
      </w:r>
      <w:r w:rsidR="00F20901">
        <w:rPr>
          <w:rFonts w:hint="eastAsia"/>
          <w:noProof/>
        </w:rPr>
        <w:t> </w:t>
      </w:r>
      <w:r w:rsidRPr="00E97C0D">
        <w:rPr>
          <w:rFonts w:hint="cs"/>
          <w:noProof/>
          <w:rtl/>
        </w:rPr>
        <w:t xml:space="preserve">تقرير الاجتماع </w:t>
      </w:r>
      <w:r w:rsidR="00057701">
        <w:rPr>
          <w:rFonts w:hint="cs"/>
          <w:noProof/>
          <w:rtl/>
        </w:rPr>
        <w:t>التحضيري</w:t>
      </w:r>
      <w:r w:rsidRPr="00E97C0D">
        <w:rPr>
          <w:rFonts w:hint="cs"/>
          <w:noProof/>
          <w:rtl/>
        </w:rPr>
        <w:t xml:space="preserve"> للمؤتمر</w:t>
      </w:r>
      <w:r w:rsidR="004F530F">
        <w:rPr>
          <w:noProof/>
        </w:rPr>
        <w:t>(</w:t>
      </w:r>
      <w:r w:rsidRPr="00E97C0D">
        <w:rPr>
          <w:rFonts w:hint="cs"/>
          <w:noProof/>
          <w:rtl/>
        </w:rPr>
        <w:t>.</w:t>
      </w:r>
    </w:p>
    <w:p w:rsidR="00BD2C48" w:rsidRPr="00BD2C48" w:rsidRDefault="00E97C0D" w:rsidP="000971AE">
      <w:pPr>
        <w:rPr>
          <w:noProof/>
          <w:rtl/>
        </w:rPr>
      </w:pPr>
      <w:r w:rsidRPr="00E97C0D">
        <w:rPr>
          <w:rFonts w:hint="cs"/>
          <w:noProof/>
          <w:rtl/>
        </w:rPr>
        <w:t xml:space="preserve">وفيما يتعلق بعملية </w:t>
      </w:r>
      <w:r w:rsidRPr="00E97C0D">
        <w:rPr>
          <w:noProof/>
        </w:rPr>
        <w:t>API</w:t>
      </w:r>
      <w:r w:rsidRPr="00E97C0D">
        <w:rPr>
          <w:rFonts w:hint="cs"/>
          <w:noProof/>
          <w:rtl/>
          <w:lang w:bidi="ar-EG"/>
        </w:rPr>
        <w:t xml:space="preserve"> فإن الولايات المتحدة وكندا تعتقدان أن إلغاء فترة الأشهر الستة الفاصلة بين بطاقات</w:t>
      </w:r>
      <w:r w:rsidR="008A3DC2">
        <w:rPr>
          <w:rFonts w:hint="eastAsia"/>
          <w:noProof/>
          <w:rtl/>
          <w:lang w:bidi="ar-EG"/>
        </w:rPr>
        <w:t> </w:t>
      </w:r>
      <w:r w:rsidRPr="00E97C0D">
        <w:rPr>
          <w:noProof/>
        </w:rPr>
        <w:t>API</w:t>
      </w:r>
      <w:r w:rsidRPr="00E97C0D">
        <w:rPr>
          <w:rFonts w:hint="cs"/>
          <w:noProof/>
          <w:rtl/>
          <w:lang w:bidi="ar-EG"/>
        </w:rPr>
        <w:t xml:space="preserve"> وتلقي بطاقات</w:t>
      </w:r>
      <w:r w:rsidR="008A3DC2">
        <w:rPr>
          <w:rFonts w:hint="eastAsia"/>
          <w:noProof/>
          <w:rtl/>
          <w:lang w:bidi="ar-EG"/>
        </w:rPr>
        <w:t> </w:t>
      </w:r>
      <w:r w:rsidRPr="00E97C0D">
        <w:rPr>
          <w:noProof/>
        </w:rPr>
        <w:t>CR/C</w:t>
      </w:r>
      <w:r w:rsidRPr="00E97C0D">
        <w:rPr>
          <w:rFonts w:hint="cs"/>
          <w:noProof/>
          <w:rtl/>
        </w:rPr>
        <w:t xml:space="preserve"> ستوفر بعض الفوائد من حيث معالجة بطاقات تبليغ الشبكات الساتلية والحد من عدد بطاقات </w:t>
      </w:r>
      <w:r w:rsidRPr="00E97C0D">
        <w:rPr>
          <w:noProof/>
        </w:rPr>
        <w:t>API</w:t>
      </w:r>
      <w:r w:rsidRPr="00E97C0D">
        <w:rPr>
          <w:rFonts w:hint="cs"/>
          <w:noProof/>
          <w:rtl/>
          <w:lang w:bidi="ar-EG"/>
        </w:rPr>
        <w:t xml:space="preserve">، وبالتالي من بطاقات </w:t>
      </w:r>
      <w:r w:rsidRPr="00E97C0D">
        <w:rPr>
          <w:noProof/>
        </w:rPr>
        <w:t>CR/C</w:t>
      </w:r>
      <w:r w:rsidRPr="00E97C0D">
        <w:rPr>
          <w:rFonts w:hint="cs"/>
          <w:noProof/>
          <w:rtl/>
        </w:rPr>
        <w:t xml:space="preserve"> المرفوعة، وذلك بإلغاء بعض أوجه الالتباس المتأصلة في العملية الحالية لبطاقات </w:t>
      </w:r>
      <w:r w:rsidRPr="00E97C0D">
        <w:rPr>
          <w:noProof/>
        </w:rPr>
        <w:t>API</w:t>
      </w:r>
      <w:r w:rsidRPr="00E97C0D">
        <w:rPr>
          <w:rFonts w:hint="cs"/>
          <w:noProof/>
          <w:rtl/>
        </w:rPr>
        <w:t xml:space="preserve"> و</w:t>
      </w:r>
      <w:r w:rsidRPr="00E97C0D">
        <w:rPr>
          <w:noProof/>
        </w:rPr>
        <w:t xml:space="preserve"> CR/C</w:t>
      </w:r>
      <w:r w:rsidRPr="00E97C0D">
        <w:rPr>
          <w:rFonts w:hint="cs"/>
          <w:noProof/>
          <w:rtl/>
        </w:rPr>
        <w:t xml:space="preserve">. ولهذا السبب فإن الولايات المتحدة وكندا تقترحان تغيير لوائح الراديو في ظل المسألة </w:t>
      </w:r>
      <w:r w:rsidRPr="00E97C0D">
        <w:rPr>
          <w:noProof/>
        </w:rPr>
        <w:t>C</w:t>
      </w:r>
      <w:r w:rsidRPr="00E97C0D">
        <w:rPr>
          <w:rFonts w:hint="cs"/>
          <w:noProof/>
          <w:rtl/>
          <w:lang w:bidi="ar-EG"/>
        </w:rPr>
        <w:t xml:space="preserve"> لإلغاء تلك الفجوة (بما يتماشى مع الخيار</w:t>
      </w:r>
      <w:r w:rsidR="008A3DC2">
        <w:rPr>
          <w:rFonts w:hint="eastAsia"/>
          <w:noProof/>
          <w:rtl/>
          <w:lang w:bidi="ar-EG"/>
        </w:rPr>
        <w:t> </w:t>
      </w:r>
      <w:r w:rsidRPr="00E97C0D">
        <w:rPr>
          <w:noProof/>
        </w:rPr>
        <w:t>B</w:t>
      </w:r>
      <w:r w:rsidRPr="00E97C0D">
        <w:rPr>
          <w:rFonts w:hint="cs"/>
          <w:noProof/>
          <w:rtl/>
          <w:lang w:bidi="ar-EG"/>
        </w:rPr>
        <w:t xml:space="preserve"> للطريقة</w:t>
      </w:r>
      <w:r w:rsidR="008A3DC2">
        <w:rPr>
          <w:rFonts w:hint="eastAsia"/>
          <w:noProof/>
          <w:rtl/>
          <w:lang w:bidi="ar-EG"/>
        </w:rPr>
        <w:t> </w:t>
      </w:r>
      <w:r w:rsidRPr="00E97C0D">
        <w:rPr>
          <w:noProof/>
        </w:rPr>
        <w:t>C3</w:t>
      </w:r>
      <w:r w:rsidRPr="00E97C0D">
        <w:rPr>
          <w:rFonts w:hint="cs"/>
          <w:noProof/>
          <w:rtl/>
          <w:lang w:bidi="ar-EG"/>
        </w:rPr>
        <w:t xml:space="preserve"> في الفقرة </w:t>
      </w:r>
      <w:r w:rsidR="000971AE">
        <w:rPr>
          <w:rFonts w:asciiTheme="majorBidi" w:hAnsiTheme="majorBidi" w:cstheme="majorBidi"/>
          <w:noProof/>
          <w:szCs w:val="22"/>
          <w:lang w:bidi="ar-EG"/>
        </w:rPr>
        <w:t>3.5.3/7/5</w:t>
      </w:r>
      <w:r w:rsidRPr="00E97C0D">
        <w:rPr>
          <w:rFonts w:hint="cs"/>
          <w:noProof/>
          <w:rtl/>
          <w:lang w:bidi="ar-EG"/>
        </w:rPr>
        <w:t xml:space="preserve"> من تقرير الاجتماع التحضيري للمؤتمر). ولا</w:t>
      </w:r>
      <w:r w:rsidR="008A3DC2">
        <w:rPr>
          <w:rFonts w:hint="eastAsia"/>
          <w:noProof/>
          <w:rtl/>
          <w:lang w:bidi="ar-EG"/>
        </w:rPr>
        <w:t> </w:t>
      </w:r>
      <w:r w:rsidRPr="00E97C0D">
        <w:rPr>
          <w:rFonts w:hint="cs"/>
          <w:noProof/>
          <w:rtl/>
          <w:lang w:bidi="ar-EG"/>
        </w:rPr>
        <w:t>يعاد</w:t>
      </w:r>
      <w:r w:rsidRPr="00E97C0D">
        <w:rPr>
          <w:noProof/>
        </w:rPr>
        <w:t xml:space="preserve"> </w:t>
      </w:r>
      <w:r w:rsidRPr="00E97C0D">
        <w:rPr>
          <w:rFonts w:hint="cs"/>
          <w:noProof/>
          <w:rtl/>
          <w:lang w:bidi="ar-EG"/>
        </w:rPr>
        <w:t xml:space="preserve"> نشر هذا المقترح، في ظل المسألة</w:t>
      </w:r>
      <w:r w:rsidR="008A3DC2">
        <w:rPr>
          <w:rFonts w:hint="eastAsia"/>
          <w:noProof/>
          <w:rtl/>
          <w:lang w:bidi="ar-EG"/>
        </w:rPr>
        <w:t> </w:t>
      </w:r>
      <w:r w:rsidRPr="00E97C0D">
        <w:rPr>
          <w:noProof/>
        </w:rPr>
        <w:t>C</w:t>
      </w:r>
      <w:r w:rsidRPr="00E97C0D">
        <w:rPr>
          <w:rFonts w:hint="cs"/>
          <w:noProof/>
          <w:rtl/>
          <w:lang w:bidi="ar-EG"/>
        </w:rPr>
        <w:t>، هنا.</w:t>
      </w:r>
    </w:p>
    <w:p w:rsidR="00A631B7" w:rsidRDefault="00CB7B13">
      <w:pPr>
        <w:pStyle w:val="Proposal"/>
      </w:pPr>
      <w:r>
        <w:rPr>
          <w:u w:val="single"/>
        </w:rPr>
        <w:t>NOC</w:t>
      </w:r>
      <w:r>
        <w:tab/>
        <w:t>CAN/USA/37A9/1</w:t>
      </w:r>
    </w:p>
    <w:p w:rsidR="009F37C9" w:rsidRDefault="00CB7B13" w:rsidP="00D80C2E">
      <w:pPr>
        <w:pStyle w:val="ArtNo"/>
        <w:spacing w:before="240"/>
        <w:rPr>
          <w:rtl/>
        </w:rPr>
      </w:pPr>
      <w:bookmarkStart w:id="2" w:name="_Toc331055742"/>
      <w:r>
        <w:rPr>
          <w:rtl/>
        </w:rPr>
        <w:t xml:space="preserve">المـادة </w:t>
      </w:r>
      <w:r w:rsidRPr="00B212B9">
        <w:rPr>
          <w:rStyle w:val="href"/>
        </w:rPr>
        <w:t>9</w:t>
      </w:r>
      <w:bookmarkEnd w:id="2"/>
    </w:p>
    <w:p w:rsidR="009F37C9" w:rsidRPr="00C82848" w:rsidRDefault="00CB7B13" w:rsidP="00D03296">
      <w:pPr>
        <w:pStyle w:val="Arttitle"/>
        <w:tabs>
          <w:tab w:val="center" w:pos="4569"/>
        </w:tabs>
        <w:rPr>
          <w:sz w:val="18"/>
          <w:rtl/>
          <w:lang w:bidi="ar-SY"/>
        </w:rPr>
      </w:pPr>
      <w:bookmarkStart w:id="3" w:name="_Toc331055743"/>
      <w:r w:rsidRPr="00FA6A24">
        <w:rPr>
          <w:b w:val="0"/>
          <w:rtl/>
        </w:rPr>
        <w:t xml:space="preserve">الإجراءات الواجب تطبيقها لتحقيق التنسيق مع الإدارات الأخرى </w:t>
      </w:r>
      <w:r w:rsidRPr="00FA6A24">
        <w:rPr>
          <w:b w:val="0"/>
          <w:rtl/>
        </w:rPr>
        <w:br/>
        <w:t>أو الحصول على موافقة هذه الإدارات</w:t>
      </w:r>
      <w:r w:rsidRPr="00D03296">
        <w:rPr>
          <w:rStyle w:val="FootnoteReference"/>
          <w:b w:val="0"/>
          <w:bCs w:val="0"/>
          <w:rtl/>
        </w:rPr>
        <w:t>1</w:t>
      </w:r>
      <w:r w:rsidRPr="00D03296">
        <w:rPr>
          <w:rFonts w:hint="cs"/>
          <w:b w:val="0"/>
          <w:bCs w:val="0"/>
          <w:position w:val="6"/>
          <w:sz w:val="18"/>
          <w:szCs w:val="22"/>
          <w:rtl/>
        </w:rPr>
        <w:t xml:space="preserve">، </w:t>
      </w:r>
      <w:r w:rsidRPr="00D03296">
        <w:rPr>
          <w:rStyle w:val="FootnoteReference"/>
          <w:b w:val="0"/>
          <w:bCs w:val="0"/>
          <w:rtl/>
        </w:rPr>
        <w:t>2</w:t>
      </w:r>
      <w:r w:rsidRPr="00D03296">
        <w:rPr>
          <w:rFonts w:hint="cs"/>
          <w:b w:val="0"/>
          <w:bCs w:val="0"/>
          <w:position w:val="6"/>
          <w:sz w:val="18"/>
          <w:szCs w:val="22"/>
          <w:rtl/>
        </w:rPr>
        <w:t xml:space="preserve">، </w:t>
      </w:r>
      <w:r w:rsidRPr="00D03296">
        <w:rPr>
          <w:rStyle w:val="FootnoteReference"/>
          <w:b w:val="0"/>
          <w:bCs w:val="0"/>
          <w:rtl/>
        </w:rPr>
        <w:t>3</w:t>
      </w:r>
      <w:r w:rsidRPr="00D03296">
        <w:rPr>
          <w:rFonts w:hint="cs"/>
          <w:b w:val="0"/>
          <w:bCs w:val="0"/>
          <w:position w:val="6"/>
          <w:sz w:val="18"/>
          <w:szCs w:val="22"/>
          <w:rtl/>
        </w:rPr>
        <w:t xml:space="preserve">، </w:t>
      </w:r>
      <w:r w:rsidRPr="00D03296">
        <w:rPr>
          <w:rStyle w:val="FootnoteReference"/>
          <w:b w:val="0"/>
          <w:bCs w:val="0"/>
          <w:rtl/>
        </w:rPr>
        <w:t>4</w:t>
      </w:r>
      <w:r w:rsidRPr="00D03296">
        <w:rPr>
          <w:rFonts w:hint="cs"/>
          <w:b w:val="0"/>
          <w:bCs w:val="0"/>
          <w:position w:val="6"/>
          <w:sz w:val="18"/>
          <w:szCs w:val="22"/>
          <w:rtl/>
        </w:rPr>
        <w:t xml:space="preserve">، </w:t>
      </w:r>
      <w:r w:rsidRPr="00D03296">
        <w:rPr>
          <w:rStyle w:val="FootnoteReference"/>
          <w:b w:val="0"/>
          <w:bCs w:val="0"/>
          <w:rtl/>
        </w:rPr>
        <w:t>5</w:t>
      </w:r>
      <w:r w:rsidRPr="00D03296">
        <w:rPr>
          <w:rFonts w:hint="cs"/>
          <w:b w:val="0"/>
          <w:bCs w:val="0"/>
          <w:position w:val="6"/>
          <w:sz w:val="18"/>
          <w:szCs w:val="22"/>
          <w:rtl/>
        </w:rPr>
        <w:t>،</w:t>
      </w:r>
      <w:r w:rsidRPr="00D03296">
        <w:rPr>
          <w:b w:val="0"/>
          <w:bCs w:val="0"/>
          <w:position w:val="6"/>
          <w:sz w:val="18"/>
          <w:szCs w:val="22"/>
          <w:rtl/>
        </w:rPr>
        <w:t xml:space="preserve"> </w:t>
      </w:r>
      <w:r w:rsidRPr="00D03296">
        <w:rPr>
          <w:rStyle w:val="FootnoteReference"/>
          <w:b w:val="0"/>
          <w:bCs w:val="0"/>
          <w:rtl/>
        </w:rPr>
        <w:t>6</w:t>
      </w:r>
      <w:r w:rsidRPr="00D03296">
        <w:rPr>
          <w:rFonts w:hint="cs"/>
          <w:b w:val="0"/>
          <w:bCs w:val="0"/>
          <w:position w:val="6"/>
          <w:sz w:val="18"/>
          <w:szCs w:val="22"/>
          <w:rtl/>
        </w:rPr>
        <w:t>،</w:t>
      </w:r>
      <w:r w:rsidRPr="00D03296">
        <w:rPr>
          <w:b w:val="0"/>
          <w:bCs w:val="0"/>
          <w:position w:val="6"/>
          <w:sz w:val="18"/>
          <w:szCs w:val="22"/>
          <w:rtl/>
        </w:rPr>
        <w:t xml:space="preserve"> </w:t>
      </w:r>
      <w:r w:rsidRPr="00D03296">
        <w:rPr>
          <w:rStyle w:val="FootnoteReference"/>
          <w:b w:val="0"/>
          <w:bCs w:val="0"/>
          <w:rtl/>
        </w:rPr>
        <w:t>7</w:t>
      </w:r>
      <w:r w:rsidRPr="00D03296">
        <w:rPr>
          <w:rFonts w:hint="cs"/>
          <w:b w:val="0"/>
          <w:bCs w:val="0"/>
          <w:position w:val="6"/>
          <w:sz w:val="18"/>
          <w:szCs w:val="22"/>
          <w:rtl/>
        </w:rPr>
        <w:t xml:space="preserve">، </w:t>
      </w:r>
      <w:r w:rsidRPr="00D03296">
        <w:rPr>
          <w:rStyle w:val="FootnoteReference"/>
          <w:b w:val="0"/>
          <w:bCs w:val="0"/>
          <w:rtl/>
        </w:rPr>
        <w:t>8</w:t>
      </w:r>
      <w:r w:rsidRPr="00D03296">
        <w:rPr>
          <w:rFonts w:hint="cs"/>
          <w:b w:val="0"/>
          <w:bCs w:val="0"/>
          <w:position w:val="6"/>
          <w:sz w:val="18"/>
          <w:szCs w:val="22"/>
          <w:rtl/>
        </w:rPr>
        <w:t xml:space="preserve">، </w:t>
      </w:r>
      <w:r w:rsidRPr="00D03296">
        <w:rPr>
          <w:rStyle w:val="FootnoteReference"/>
          <w:b w:val="0"/>
          <w:bCs w:val="0"/>
          <w:rtl/>
        </w:rPr>
        <w:t>8</w:t>
      </w:r>
      <w:r w:rsidRPr="00E13BEE">
        <w:rPr>
          <w:rStyle w:val="FootnoteReference"/>
          <w:rFonts w:cs="Traditional Arabic"/>
          <w:b w:val="0"/>
          <w:bCs w:val="0"/>
          <w:i/>
          <w:iCs/>
          <w:rtl/>
        </w:rPr>
        <w:t>مكرراً</w:t>
      </w:r>
      <w:r w:rsidRPr="00D03296">
        <w:rPr>
          <w:rFonts w:hint="cs"/>
          <w:bCs w:val="0"/>
          <w:position w:val="-4"/>
          <w:szCs w:val="22"/>
          <w:vertAlign w:val="superscript"/>
          <w:rtl/>
        </w:rPr>
        <w:t xml:space="preserve"> </w:t>
      </w:r>
      <w:r w:rsidRPr="000E1A91">
        <w:rPr>
          <w:b w:val="0"/>
          <w:bCs w:val="0"/>
          <w:sz w:val="16"/>
          <w:szCs w:val="16"/>
          <w:lang w:bidi="ar-SA"/>
        </w:rPr>
        <w:t>(WRC</w:t>
      </w:r>
      <w:r>
        <w:rPr>
          <w:b w:val="0"/>
          <w:bCs w:val="0"/>
          <w:sz w:val="16"/>
          <w:szCs w:val="16"/>
          <w:lang w:bidi="ar-SA"/>
        </w:rPr>
        <w:t>-</w:t>
      </w:r>
      <w:r w:rsidRPr="000E1A91">
        <w:rPr>
          <w:b w:val="0"/>
          <w:bCs w:val="0"/>
          <w:sz w:val="16"/>
          <w:szCs w:val="16"/>
          <w:lang w:bidi="ar-SA"/>
        </w:rPr>
        <w:t>12)</w:t>
      </w:r>
      <w:bookmarkEnd w:id="3"/>
      <w:r w:rsidRPr="0092049E">
        <w:rPr>
          <w:b w:val="0"/>
          <w:bCs w:val="0"/>
          <w:sz w:val="18"/>
          <w:lang w:bidi="ar-SA"/>
        </w:rPr>
        <w:t>    </w:t>
      </w:r>
    </w:p>
    <w:p w:rsidR="00A631B7" w:rsidRPr="008177C9" w:rsidRDefault="00CB7B13" w:rsidP="008177C9">
      <w:pPr>
        <w:pStyle w:val="Reasons"/>
        <w:rPr>
          <w:b w:val="0"/>
          <w:bCs w:val="0"/>
          <w:rtl/>
        </w:rPr>
      </w:pPr>
      <w:r>
        <w:rPr>
          <w:rtl/>
        </w:rPr>
        <w:t>الأسباب:</w:t>
      </w:r>
      <w:r>
        <w:tab/>
      </w:r>
      <w:r w:rsidR="008177C9">
        <w:rPr>
          <w:rFonts w:hint="cs"/>
          <w:b w:val="0"/>
          <w:bCs w:val="0"/>
          <w:rtl/>
        </w:rPr>
        <w:t xml:space="preserve">ليس هناك من حاجة إلى إدخال تعديل على لوائح الراديو للقيام على وجه التحديد بمعالجة المسألة المزعومة للعدد المفرط من بطاقات التبليغ </w:t>
      </w:r>
      <w:r w:rsidR="008177C9" w:rsidRPr="008177C9">
        <w:rPr>
          <w:b w:val="0"/>
          <w:bCs w:val="0"/>
          <w:szCs w:val="24"/>
          <w:lang w:val="it-IT"/>
        </w:rPr>
        <w:t>CR/C</w:t>
      </w:r>
      <w:r w:rsidR="008177C9">
        <w:rPr>
          <w:rFonts w:hint="cs"/>
          <w:szCs w:val="24"/>
          <w:rtl/>
          <w:lang w:val="it-IT"/>
        </w:rPr>
        <w:t>.</w:t>
      </w:r>
    </w:p>
    <w:p w:rsidR="00A631B7" w:rsidRDefault="00CB7B13">
      <w:pPr>
        <w:pStyle w:val="Proposal"/>
      </w:pPr>
      <w:r>
        <w:rPr>
          <w:u w:val="single"/>
        </w:rPr>
        <w:t>NOC</w:t>
      </w:r>
      <w:r>
        <w:tab/>
        <w:t>CAN/USA/37A9/2</w:t>
      </w:r>
    </w:p>
    <w:p w:rsidR="009F37C9" w:rsidRPr="00620278" w:rsidRDefault="00CB7B13" w:rsidP="00D02A9E">
      <w:pPr>
        <w:pStyle w:val="ArtNo"/>
        <w:rPr>
          <w:rtl/>
        </w:rPr>
      </w:pPr>
      <w:r w:rsidRPr="00620278">
        <w:rPr>
          <w:rtl/>
        </w:rPr>
        <w:t xml:space="preserve">المـادة </w:t>
      </w:r>
      <w:r w:rsidRPr="00476D6B">
        <w:rPr>
          <w:rStyle w:val="href"/>
        </w:rPr>
        <w:t>11</w:t>
      </w:r>
    </w:p>
    <w:p w:rsidR="009F37C9" w:rsidRPr="00620278" w:rsidRDefault="00CB7B13" w:rsidP="00D02A9E">
      <w:pPr>
        <w:pStyle w:val="Arttitle"/>
        <w:rPr>
          <w:rtl/>
          <w:lang w:bidi="ar-SY"/>
        </w:rPr>
      </w:pPr>
      <w:bookmarkStart w:id="4"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4837EC">
        <w:rPr>
          <w:rStyle w:val="FootnoteReference"/>
          <w:rFonts w:ascii="Times New Roman Bold" w:hAnsi="Times New Roman Bold" w:cs="Traditional Arabic"/>
          <w:bCs w:val="0"/>
          <w:i/>
          <w:iCs/>
          <w:rtl/>
        </w:rPr>
        <w:t>مكرراً</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4"/>
      <w:r w:rsidRPr="00F62046">
        <w:rPr>
          <w:b w:val="0"/>
          <w:bCs w:val="0"/>
          <w:sz w:val="18"/>
          <w:lang w:bidi="ar-SA"/>
        </w:rPr>
        <w:t>    </w:t>
      </w:r>
    </w:p>
    <w:p w:rsidR="00A631B7" w:rsidRDefault="00CB7B13" w:rsidP="008177C9">
      <w:pPr>
        <w:pStyle w:val="Reasons"/>
        <w:rPr>
          <w:rtl/>
        </w:rPr>
      </w:pPr>
      <w:r>
        <w:rPr>
          <w:rtl/>
        </w:rPr>
        <w:t>الأسباب:</w:t>
      </w:r>
      <w:r>
        <w:tab/>
      </w:r>
      <w:r w:rsidR="008177C9">
        <w:rPr>
          <w:rFonts w:hint="cs"/>
          <w:b w:val="0"/>
          <w:bCs w:val="0"/>
          <w:rtl/>
        </w:rPr>
        <w:t xml:space="preserve">ليس هناك من حاجة إلى إدخال تعديل على لوائح الراديو للقيام على وجه التحديد بمعالجة المسألة المزعومة للعدد المفرط من بطاقات التبليغ </w:t>
      </w:r>
      <w:r w:rsidR="008177C9" w:rsidRPr="008177C9">
        <w:rPr>
          <w:b w:val="0"/>
          <w:bCs w:val="0"/>
          <w:szCs w:val="24"/>
          <w:lang w:val="it-IT"/>
        </w:rPr>
        <w:t>CR/C</w:t>
      </w:r>
      <w:r w:rsidR="008177C9">
        <w:rPr>
          <w:rFonts w:hint="cs"/>
          <w:szCs w:val="24"/>
          <w:rtl/>
          <w:lang w:val="it-IT"/>
        </w:rPr>
        <w:t>.</w:t>
      </w:r>
    </w:p>
    <w:p w:rsidR="009E776D" w:rsidRDefault="009E776D" w:rsidP="004837EC">
      <w:pPr>
        <w:pStyle w:val="Reasons"/>
        <w:rPr>
          <w:rtl/>
          <w:lang w:bidi="ar-EG"/>
        </w:rPr>
      </w:pPr>
    </w:p>
    <w:p w:rsidR="009E776D" w:rsidRPr="009E776D" w:rsidRDefault="009E776D" w:rsidP="009E776D">
      <w:pPr>
        <w:spacing w:before="600"/>
        <w:jc w:val="center"/>
      </w:pPr>
      <w:r>
        <w:rPr>
          <w:rFonts w:hint="cs"/>
          <w:rtl/>
        </w:rPr>
        <w:t>___________</w:t>
      </w:r>
    </w:p>
    <w:sectPr w:rsidR="009E776D" w:rsidRPr="009E776D">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9E776D">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EE63B4">
      <w:rPr>
        <w:noProof/>
        <w:lang w:val="es-ES"/>
      </w:rPr>
      <w:t>P:\ARA\ITU-R\CONF-R\CMR15\000\037ADD09A.docx</w:t>
    </w:r>
    <w:r w:rsidRPr="00CB4300">
      <w:fldChar w:fldCharType="end"/>
    </w:r>
    <w:r w:rsidRPr="00CB4300">
      <w:rPr>
        <w:lang w:val="es-ES"/>
      </w:rPr>
      <w:t xml:space="preserve">  (</w:t>
    </w:r>
    <w:r w:rsidR="009E776D">
      <w:rPr>
        <w:rFonts w:hint="cs"/>
        <w:rtl/>
        <w:lang w:val="es-ES"/>
      </w:rPr>
      <w:t>387994</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057701">
      <w:rPr>
        <w:noProof/>
      </w:rPr>
      <w:t>26.10.15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9E776D">
    <w:pPr>
      <w:pStyle w:val="Footer"/>
      <w:rPr>
        <w:lang w:val="es-ES"/>
      </w:rPr>
    </w:pPr>
    <w:r>
      <w:fldChar w:fldCharType="begin"/>
    </w:r>
    <w:r w:rsidRPr="00CB4300">
      <w:rPr>
        <w:lang w:val="es-ES"/>
      </w:rPr>
      <w:instrText xml:space="preserve"> FILENAME \p \* MERGEFORMAT </w:instrText>
    </w:r>
    <w:r>
      <w:fldChar w:fldCharType="separate"/>
    </w:r>
    <w:r w:rsidR="00EE63B4">
      <w:rPr>
        <w:noProof/>
        <w:lang w:val="es-ES"/>
      </w:rPr>
      <w:t>P:\ARA\ITU-R\CONF-R\CMR15\000\037ADD09A.docx</w:t>
    </w:r>
    <w:r>
      <w:fldChar w:fldCharType="end"/>
    </w:r>
    <w:r w:rsidRPr="00CB4300">
      <w:rPr>
        <w:lang w:val="es-ES"/>
      </w:rPr>
      <w:t xml:space="preserve">   (</w:t>
    </w:r>
    <w:r w:rsidR="009E776D">
      <w:rPr>
        <w:rFonts w:hint="cs"/>
        <w:rtl/>
        <w:lang w:val="es-ES"/>
      </w:rPr>
      <w:t>387994</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057701">
      <w:rPr>
        <w:noProof/>
      </w:rPr>
      <w:t>26.10.15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C20A0">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37(Add.9)-</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57701"/>
    <w:rsid w:val="00075A3F"/>
    <w:rsid w:val="000971AE"/>
    <w:rsid w:val="000A1B16"/>
    <w:rsid w:val="000B5404"/>
    <w:rsid w:val="000D1708"/>
    <w:rsid w:val="000D21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13A8A"/>
    <w:rsid w:val="0033737F"/>
    <w:rsid w:val="00353652"/>
    <w:rsid w:val="003569E1"/>
    <w:rsid w:val="003815E2"/>
    <w:rsid w:val="00381FAD"/>
    <w:rsid w:val="00382A66"/>
    <w:rsid w:val="00387CC0"/>
    <w:rsid w:val="003923B1"/>
    <w:rsid w:val="00392C0C"/>
    <w:rsid w:val="003957C0"/>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837EC"/>
    <w:rsid w:val="004909DD"/>
    <w:rsid w:val="004A05E6"/>
    <w:rsid w:val="004A6C66"/>
    <w:rsid w:val="004A7AA0"/>
    <w:rsid w:val="004C11BC"/>
    <w:rsid w:val="004D4AE6"/>
    <w:rsid w:val="004E34FA"/>
    <w:rsid w:val="004F530F"/>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4436A"/>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177C9"/>
    <w:rsid w:val="008204AC"/>
    <w:rsid w:val="008261C2"/>
    <w:rsid w:val="00830002"/>
    <w:rsid w:val="00830D96"/>
    <w:rsid w:val="008455BE"/>
    <w:rsid w:val="0085569D"/>
    <w:rsid w:val="00855B59"/>
    <w:rsid w:val="0085774F"/>
    <w:rsid w:val="008657CB"/>
    <w:rsid w:val="00866A15"/>
    <w:rsid w:val="0088384B"/>
    <w:rsid w:val="008911EC"/>
    <w:rsid w:val="00893E53"/>
    <w:rsid w:val="008A1137"/>
    <w:rsid w:val="008A1788"/>
    <w:rsid w:val="008A3DC2"/>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E776D"/>
    <w:rsid w:val="009F042B"/>
    <w:rsid w:val="009F7BA0"/>
    <w:rsid w:val="00A03FD6"/>
    <w:rsid w:val="00A116A8"/>
    <w:rsid w:val="00A22AE9"/>
    <w:rsid w:val="00A26758"/>
    <w:rsid w:val="00A26D0E"/>
    <w:rsid w:val="00A278E9"/>
    <w:rsid w:val="00A3451F"/>
    <w:rsid w:val="00A36268"/>
    <w:rsid w:val="00A40B2C"/>
    <w:rsid w:val="00A631B7"/>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4282B"/>
    <w:rsid w:val="00B528DF"/>
    <w:rsid w:val="00B606BA"/>
    <w:rsid w:val="00B66817"/>
    <w:rsid w:val="00B708E9"/>
    <w:rsid w:val="00B71E3B"/>
    <w:rsid w:val="00B721D5"/>
    <w:rsid w:val="00B81CB5"/>
    <w:rsid w:val="00B8351F"/>
    <w:rsid w:val="00B86C44"/>
    <w:rsid w:val="00B9727C"/>
    <w:rsid w:val="00BA610A"/>
    <w:rsid w:val="00BA7D44"/>
    <w:rsid w:val="00BD2C48"/>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953FE"/>
    <w:rsid w:val="00CA298C"/>
    <w:rsid w:val="00CB2BF9"/>
    <w:rsid w:val="00CB4300"/>
    <w:rsid w:val="00CB454E"/>
    <w:rsid w:val="00CB7B13"/>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3BEE"/>
    <w:rsid w:val="00E165ED"/>
    <w:rsid w:val="00E2489D"/>
    <w:rsid w:val="00E25C06"/>
    <w:rsid w:val="00E26520"/>
    <w:rsid w:val="00E343A3"/>
    <w:rsid w:val="00E51BFA"/>
    <w:rsid w:val="00E621A3"/>
    <w:rsid w:val="00E77D29"/>
    <w:rsid w:val="00E833BC"/>
    <w:rsid w:val="00E8580E"/>
    <w:rsid w:val="00E97C0D"/>
    <w:rsid w:val="00EA1B76"/>
    <w:rsid w:val="00EA77D7"/>
    <w:rsid w:val="00EC09B9"/>
    <w:rsid w:val="00ED048C"/>
    <w:rsid w:val="00ED4B29"/>
    <w:rsid w:val="00EE63B4"/>
    <w:rsid w:val="00EF38AF"/>
    <w:rsid w:val="00F055F8"/>
    <w:rsid w:val="00F10CB4"/>
    <w:rsid w:val="00F11B3D"/>
    <w:rsid w:val="00F14763"/>
    <w:rsid w:val="00F16212"/>
    <w:rsid w:val="00F16602"/>
    <w:rsid w:val="00F20901"/>
    <w:rsid w:val="00F25B80"/>
    <w:rsid w:val="00F2685F"/>
    <w:rsid w:val="00F350C8"/>
    <w:rsid w:val="00F40D57"/>
    <w:rsid w:val="00F43A2A"/>
    <w:rsid w:val="00F73CFD"/>
    <w:rsid w:val="00F8654D"/>
    <w:rsid w:val="00F878FB"/>
    <w:rsid w:val="00F900C9"/>
    <w:rsid w:val="00F92C96"/>
    <w:rsid w:val="00FA0D4E"/>
    <w:rsid w:val="00FB0753"/>
    <w:rsid w:val="00FB5CC8"/>
    <w:rsid w:val="00FC20A0"/>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ED75883-4C4A-44C9-968E-33971BF4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R15-WRC15-C-0037!A9!MSW-A</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CE30E7-A23E-4418-BF7E-EBE51738C3D8}">
  <ds:schemaRefs>
    <ds:schemaRef ds:uri="http://schemas.microsoft.com/office/2006/metadata/properties"/>
    <ds:schemaRef ds:uri="http://schemas.microsoft.com/office/2006/documentManagement/types"/>
    <ds:schemaRef ds:uri="http://schemas.microsoft.com/office/infopath/2007/PartnerControls"/>
    <ds:schemaRef ds:uri="32a1a8c5-2265-4ebc-b7a0-2071e2c5c9bb"/>
    <ds:schemaRef ds:uri="http://purl.org/dc/terms/"/>
    <ds:schemaRef ds:uri="http://purl.org/dc/elements/1.1/"/>
    <ds:schemaRef ds:uri="996b2e75-67fd-4955-a3b0-5ab9934cb50b"/>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C148D5CC-DEC2-4156-BF0A-D1B7FBE7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682</Words>
  <Characters>3598</Characters>
  <Application>Microsoft Office Word</Application>
  <DocSecurity>0</DocSecurity>
  <Lines>70</Lines>
  <Paragraphs>39</Paragraphs>
  <ScaleCrop>false</ScaleCrop>
  <HeadingPairs>
    <vt:vector size="2" baseType="variant">
      <vt:variant>
        <vt:lpstr>Title</vt:lpstr>
      </vt:variant>
      <vt:variant>
        <vt:i4>1</vt:i4>
      </vt:variant>
    </vt:vector>
  </HeadingPairs>
  <TitlesOfParts>
    <vt:vector size="1" baseType="lpstr">
      <vt:lpstr>R15-WRC15-C-0037!A9!MSW-A</vt:lpstr>
    </vt:vector>
  </TitlesOfParts>
  <Manager>General Secretariat - Pool</Manager>
  <Company>International Telecommunication Union (ITU)</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R15-WRC15-C-0037!A9!MSW-A</dc:title>
  <dc:creator>Documents Proposals Manager (DPM)</dc:creator>
  <cp:keywords>DPM_v5.2015.10.8_prod</cp:keywords>
  <cp:lastModifiedBy>Awad, Samy</cp:lastModifiedBy>
  <cp:revision>21</cp:revision>
  <cp:lastPrinted>2011-11-07T13:53:00Z</cp:lastPrinted>
  <dcterms:created xsi:type="dcterms:W3CDTF">2015-10-25T14:40:00Z</dcterms:created>
  <dcterms:modified xsi:type="dcterms:W3CDTF">2015-10-26T23:22:00Z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