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5C1724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5C1724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5A0786" w:rsidRDefault="003E1608" w:rsidP="005A0786">
            <w:pPr>
              <w:pStyle w:val="Adress"/>
              <w:framePr w:hSpace="0" w:wrap="auto" w:xAlign="left" w:yAlign="inline"/>
              <w:rPr>
                <w:rFonts w:asciiTheme="minorHAnsi" w:hAnsiTheme="minorHAnsi"/>
                <w:rtl/>
              </w:rPr>
            </w:pPr>
            <w:r w:rsidRPr="005C1724">
              <w:rPr>
                <w:rtl/>
              </w:rPr>
              <w:t xml:space="preserve">الإضافة </w:t>
            </w:r>
            <w:r w:rsidRPr="005C1724">
              <w:t>1</w:t>
            </w:r>
            <w:r w:rsidRPr="005C1724">
              <w:br/>
            </w:r>
            <w:r w:rsidRPr="005C1724">
              <w:rPr>
                <w:rtl/>
              </w:rPr>
              <w:t xml:space="preserve">للوثيقة </w:t>
            </w:r>
            <w:r w:rsidRPr="005C1724">
              <w:t>38-</w:t>
            </w:r>
            <w:r w:rsidR="005C1724" w:rsidRPr="005C1724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5C1724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5C1724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5C1724">
              <w:rPr>
                <w:rFonts w:eastAsia="SimSun"/>
              </w:rPr>
              <w:t>6</w:t>
            </w:r>
            <w:r w:rsidRPr="005C1724">
              <w:rPr>
                <w:rFonts w:eastAsia="SimSun"/>
                <w:rtl/>
              </w:rPr>
              <w:t xml:space="preserve"> أكتوبر </w:t>
            </w:r>
            <w:r w:rsidRPr="005C1724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5C1724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5C1724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5C1724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5C1724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كندا</w:t>
            </w:r>
            <w:r w:rsidR="005C1724">
              <w:rPr>
                <w:rFonts w:hint="cs"/>
                <w:rtl/>
              </w:rPr>
              <w:t xml:space="preserve">، </w:t>
            </w:r>
            <w:r w:rsidR="005C1724" w:rsidRPr="002222F9">
              <w:rPr>
                <w:rFonts w:hint="cs"/>
                <w:rtl/>
              </w:rPr>
              <w:t>الولايات المتحدة الأمريكية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5C1724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5C1724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5C1724">
              <w:t>1.1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Default="00A03AE7" w:rsidP="004360C2">
      <w:pPr>
        <w:pStyle w:val="Normalaftertitle"/>
        <w:rPr>
          <w:rFonts w:eastAsia="SimSun"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="004360C2">
        <w:rPr>
          <w:rFonts w:eastAsia="SimSun" w:hint="eastAsia"/>
          <w:rtl/>
        </w:rPr>
        <w:t> 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</w:rPr>
        <w:t>233</w:t>
      </w:r>
      <w:r w:rsidRPr="00431196">
        <w:rPr>
          <w:rFonts w:eastAsia="SimSun"/>
          <w:b/>
          <w:bCs/>
          <w:lang w:bidi="ar-SY"/>
        </w:rPr>
        <w:t> 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2222F9" w:rsidRPr="002222F9" w:rsidRDefault="002222F9" w:rsidP="002222F9">
      <w:pPr>
        <w:jc w:val="center"/>
        <w:rPr>
          <w:rFonts w:eastAsia="SimSun"/>
          <w:sz w:val="28"/>
          <w:szCs w:val="28"/>
          <w:rtl/>
          <w:lang w:bidi="ar-EG"/>
        </w:rPr>
      </w:pPr>
      <w:r w:rsidRPr="002222F9">
        <w:rPr>
          <w:rFonts w:eastAsia="SimSun"/>
          <w:sz w:val="28"/>
          <w:szCs w:val="28"/>
          <w:u w:val="single"/>
          <w:lang w:bidi="ar-EG"/>
        </w:rPr>
        <w:t>NOC</w:t>
      </w:r>
      <w:r w:rsidRPr="002222F9">
        <w:rPr>
          <w:rFonts w:eastAsia="SimSun"/>
          <w:sz w:val="28"/>
          <w:szCs w:val="28"/>
          <w:lang w:bidi="ar-EG"/>
        </w:rPr>
        <w:t xml:space="preserve"> MHz 1 400-1 300</w:t>
      </w:r>
    </w:p>
    <w:p w:rsidR="00F16602" w:rsidRDefault="005C1724" w:rsidP="005C1724">
      <w:pPr>
        <w:pStyle w:val="Headingb"/>
        <w:rPr>
          <w:rtl/>
        </w:rPr>
      </w:pPr>
      <w:r>
        <w:rPr>
          <w:rFonts w:hint="cs"/>
          <w:rtl/>
        </w:rPr>
        <w:t>معلومات أساسية</w:t>
      </w:r>
    </w:p>
    <w:p w:rsidR="00E85099" w:rsidRDefault="002222F9" w:rsidP="005E3D4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أدرك المؤتمر العالمي للاتصالات الراديوية لعام 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 xml:space="preserve"> الحاجة إلى طيف راديوي إضافي لدعم تزايد حركة البيانات المتنقلة و</w:t>
      </w:r>
      <w:r w:rsidR="00E85099">
        <w:rPr>
          <w:rFonts w:hint="cs"/>
          <w:rtl/>
          <w:lang w:bidi="ar-EG"/>
        </w:rPr>
        <w:t xml:space="preserve">أدرج في جدول أعمال المؤتمر العالمي للاتصالات الراديوية لعام </w:t>
      </w:r>
      <w:r w:rsidR="00E85099">
        <w:rPr>
          <w:lang w:bidi="ar-EG"/>
        </w:rPr>
        <w:t>2015</w:t>
      </w:r>
      <w:r w:rsidR="00E85099">
        <w:rPr>
          <w:rFonts w:hint="cs"/>
          <w:rtl/>
          <w:lang w:bidi="ar-EG"/>
        </w:rPr>
        <w:t xml:space="preserve"> النظر في توزيعات إضافية من الطيف للتطبيقات المتنقلة عريضة النطاق للأرض.</w:t>
      </w:r>
    </w:p>
    <w:p w:rsidR="00E85099" w:rsidRDefault="00E85099" w:rsidP="00E85099">
      <w:pPr>
        <w:rPr>
          <w:color w:val="000000"/>
          <w:rtl/>
          <w:lang w:bidi="ar-EG"/>
        </w:rPr>
      </w:pPr>
      <w:r>
        <w:rPr>
          <w:rFonts w:hint="cs"/>
          <w:rtl/>
          <w:lang w:bidi="ar-EG"/>
        </w:rPr>
        <w:t xml:space="preserve">ويسند إلى نطاق التردد </w:t>
      </w:r>
      <w:r>
        <w:rPr>
          <w:lang w:bidi="ar-EG"/>
        </w:rPr>
        <w:t>MHz 1 400-1 300</w:t>
      </w:r>
      <w:r>
        <w:rPr>
          <w:rFonts w:hint="cs"/>
          <w:rtl/>
          <w:lang w:bidi="ar-EG"/>
        </w:rPr>
        <w:t xml:space="preserve"> في الإقليم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توزيعات أولية مشتركة للخدمة القابتة والخدمة المتنقلة وخدمة </w:t>
      </w:r>
      <w:r>
        <w:rPr>
          <w:color w:val="000000"/>
          <w:rtl/>
        </w:rPr>
        <w:t>التحديد الراديوي للموقع</w:t>
      </w:r>
      <w:r>
        <w:rPr>
          <w:rFonts w:hint="cs"/>
          <w:color w:val="000000"/>
          <w:rtl/>
        </w:rPr>
        <w:t xml:space="preserve">. بالإضافة إلى ذلك، يسند إلى نطاق التردد </w:t>
      </w:r>
      <w:r>
        <w:rPr>
          <w:color w:val="000000"/>
        </w:rPr>
        <w:t>MHz 1 370-1 350</w:t>
      </w:r>
      <w:r>
        <w:rPr>
          <w:rFonts w:hint="cs"/>
          <w:color w:val="000000"/>
          <w:rtl/>
          <w:lang w:bidi="ar-EG"/>
        </w:rPr>
        <w:t xml:space="preserve"> توزيع أولي مشترك لخدمة الملاحة الراديوية للطيران في الولايات المتحدة الأمريكية وكندا في حاشية ترد في الرقم </w:t>
      </w:r>
      <w:r>
        <w:rPr>
          <w:color w:val="000000"/>
          <w:lang w:bidi="ar-EG"/>
        </w:rPr>
        <w:t>334.5</w:t>
      </w:r>
      <w:r>
        <w:rPr>
          <w:rFonts w:hint="cs"/>
          <w:color w:val="000000"/>
          <w:rtl/>
          <w:lang w:bidi="ar-EG"/>
        </w:rPr>
        <w:t>.</w:t>
      </w:r>
    </w:p>
    <w:p w:rsidR="00327E26" w:rsidRDefault="00E85099" w:rsidP="00327E26">
      <w:pPr>
        <w:rPr>
          <w:color w:val="000000"/>
          <w:rtl/>
          <w:lang w:bidi="ar-EG"/>
        </w:rPr>
      </w:pPr>
      <w:r>
        <w:rPr>
          <w:rFonts w:hint="cs"/>
          <w:color w:val="000000"/>
          <w:rtl/>
          <w:lang w:bidi="ar-EG"/>
        </w:rPr>
        <w:t xml:space="preserve">وأنشأ الاتحاد الدولي للاتصالات فريق المهام المشترك </w:t>
      </w:r>
      <w:r>
        <w:rPr>
          <w:color w:val="000000"/>
          <w:lang w:bidi="ar-EG"/>
        </w:rPr>
        <w:t>7-6-5-4</w:t>
      </w:r>
      <w:r>
        <w:rPr>
          <w:rFonts w:hint="cs"/>
          <w:color w:val="000000"/>
          <w:rtl/>
          <w:lang w:bidi="ar-EG"/>
        </w:rPr>
        <w:t xml:space="preserve"> للنظر في الاحتياجات من الطيف للاتصالات المتنقلة الدولية</w:t>
      </w:r>
      <w:r w:rsidR="00327E26">
        <w:rPr>
          <w:rFonts w:hint="cs"/>
          <w:color w:val="000000"/>
          <w:rtl/>
          <w:lang w:bidi="ar-EG"/>
        </w:rPr>
        <w:t>/النطاق العريض المتنقل وأجرى دراسات التوافق مع مراعاة متطلبات حماية الخدمات الأخرى التي أعدتها فرق العمل المعنية بقطاع الاتصالات الراديوية.</w:t>
      </w:r>
    </w:p>
    <w:p w:rsidR="002919E1" w:rsidRPr="002919E1" w:rsidRDefault="00327E26" w:rsidP="00745AC7">
      <w:pPr>
        <w:rPr>
          <w:noProof/>
          <w:rtl/>
        </w:rPr>
      </w:pPr>
      <w:r>
        <w:rPr>
          <w:rFonts w:hint="cs"/>
          <w:color w:val="000000"/>
          <w:rtl/>
          <w:lang w:bidi="ar-EG"/>
        </w:rPr>
        <w:t xml:space="preserve">أجرى فريق المهام المشترك </w:t>
      </w:r>
      <w:r>
        <w:rPr>
          <w:color w:val="000000"/>
          <w:lang w:bidi="ar-EG"/>
        </w:rPr>
        <w:t>7-6-5-4</w:t>
      </w:r>
      <w:r>
        <w:rPr>
          <w:rFonts w:hint="cs"/>
          <w:color w:val="000000"/>
          <w:rtl/>
          <w:lang w:bidi="ar-EG"/>
        </w:rPr>
        <w:t xml:space="preserve"> دراسات </w:t>
      </w:r>
      <w:r w:rsidRPr="005E3D45">
        <w:rPr>
          <w:rFonts w:hint="cs"/>
          <w:color w:val="000000"/>
          <w:spacing w:val="2"/>
          <w:rtl/>
          <w:lang w:bidi="ar-EG"/>
        </w:rPr>
        <w:t>التوافق بين أنظمة الاتصالات المتنقلة الدولية والرادارات التي تعمل في المدى</w:t>
      </w:r>
      <w:r>
        <w:rPr>
          <w:rFonts w:hint="cs"/>
          <w:color w:val="000000"/>
          <w:rtl/>
          <w:lang w:bidi="ar-EG"/>
        </w:rPr>
        <w:t xml:space="preserve"> </w:t>
      </w:r>
      <w:r>
        <w:rPr>
          <w:color w:val="000000"/>
          <w:lang w:bidi="ar-EG"/>
        </w:rPr>
        <w:t>MHz 1 400-1 300</w:t>
      </w:r>
      <w:r>
        <w:rPr>
          <w:rFonts w:hint="cs"/>
          <w:color w:val="000000"/>
          <w:rtl/>
          <w:lang w:bidi="ar-EG"/>
        </w:rPr>
        <w:t xml:space="preserve">، وبينت جميع الدراسات </w:t>
      </w:r>
      <w:r>
        <w:rPr>
          <w:color w:val="000000"/>
          <w:rtl/>
        </w:rPr>
        <w:t xml:space="preserve">أنه لا يمكن تقاسم الترددات المشتركة بين الرادارات </w:t>
      </w:r>
      <w:r>
        <w:rPr>
          <w:rFonts w:hint="cs"/>
          <w:color w:val="000000"/>
          <w:rtl/>
        </w:rPr>
        <w:t xml:space="preserve">وأنظمة </w:t>
      </w:r>
      <w:r>
        <w:rPr>
          <w:color w:val="000000"/>
          <w:rtl/>
        </w:rPr>
        <w:t xml:space="preserve">الاتصالات المتنقلة </w:t>
      </w:r>
      <w:r>
        <w:rPr>
          <w:color w:val="000000"/>
          <w:rtl/>
        </w:rPr>
        <w:lastRenderedPageBreak/>
        <w:t xml:space="preserve">الدولية </w:t>
      </w:r>
      <w:r>
        <w:rPr>
          <w:rFonts w:hint="cs"/>
          <w:color w:val="000000"/>
          <w:rtl/>
          <w:lang w:bidi="ar-EG"/>
        </w:rPr>
        <w:t>في المنطقة الجغرافية</w:t>
      </w:r>
      <w:r w:rsidR="00745AC7">
        <w:rPr>
          <w:rFonts w:hint="cs"/>
          <w:color w:val="000000"/>
          <w:rtl/>
          <w:lang w:bidi="ar-EG"/>
        </w:rPr>
        <w:t xml:space="preserve"> ذاتها</w:t>
      </w:r>
      <w:r>
        <w:rPr>
          <w:rFonts w:hint="cs"/>
          <w:color w:val="000000"/>
          <w:rtl/>
          <w:lang w:bidi="ar-EG"/>
        </w:rPr>
        <w:t xml:space="preserve">. وترد هذه الدراسات في تقرير رئيس فريق المهام المشترك </w:t>
      </w:r>
      <w:r>
        <w:rPr>
          <w:color w:val="000000"/>
          <w:lang w:bidi="ar-EG"/>
        </w:rPr>
        <w:t>7-6-5-4</w:t>
      </w:r>
      <w:r>
        <w:rPr>
          <w:rFonts w:hint="cs"/>
          <w:color w:val="000000"/>
          <w:rtl/>
          <w:lang w:bidi="ar-EG"/>
        </w:rPr>
        <w:t xml:space="preserve"> (الملحق </w:t>
      </w:r>
      <w:r>
        <w:rPr>
          <w:color w:val="000000"/>
          <w:lang w:bidi="ar-EG"/>
        </w:rPr>
        <w:t>25</w:t>
      </w:r>
      <w:r>
        <w:rPr>
          <w:rFonts w:hint="cs"/>
          <w:color w:val="000000"/>
          <w:rtl/>
          <w:lang w:bidi="ar-EG"/>
        </w:rPr>
        <w:t xml:space="preserve">). بالإضافة إلى ذلك أظهرت الدراسات ان التنسيق العالمي لهذا النطاق لاستعماله في الاتصالات المتنقلة الدولية ليس ممكناً وأن أي استعمال لجزء من مدى التردد هذا </w:t>
      </w:r>
      <w:r w:rsidR="00745AC7">
        <w:rPr>
          <w:rFonts w:hint="cs"/>
          <w:color w:val="000000"/>
          <w:rtl/>
          <w:lang w:bidi="ar-EG"/>
        </w:rPr>
        <w:t>في ا</w:t>
      </w:r>
      <w:r>
        <w:rPr>
          <w:rFonts w:hint="cs"/>
          <w:color w:val="000000"/>
          <w:rtl/>
          <w:lang w:bidi="ar-EG"/>
        </w:rPr>
        <w:t>لاتصالات المتنقلة الدولية</w:t>
      </w:r>
      <w:r w:rsidR="00745AC7">
        <w:rPr>
          <w:rFonts w:hint="cs"/>
          <w:color w:val="000000"/>
          <w:rtl/>
          <w:lang w:bidi="ar-EG"/>
        </w:rPr>
        <w:t xml:space="preserve"> ليس ممكناً إ</w:t>
      </w:r>
      <w:r>
        <w:rPr>
          <w:rFonts w:hint="cs"/>
          <w:color w:val="000000"/>
          <w:rtl/>
          <w:lang w:bidi="ar-EG"/>
        </w:rPr>
        <w:t>لا على الصعيد الوطني</w:t>
      </w:r>
      <w:r w:rsidR="00745AC7">
        <w:rPr>
          <w:rFonts w:hint="cs"/>
          <w:color w:val="000000"/>
          <w:rtl/>
          <w:lang w:bidi="ar-EG"/>
        </w:rPr>
        <w:t xml:space="preserve">. ولذلك فإن تحديد الاتصالات المتنقلة الدولية في نطاق التردد </w:t>
      </w:r>
      <w:r w:rsidR="00745AC7">
        <w:rPr>
          <w:color w:val="000000"/>
          <w:lang w:bidi="ar-EG"/>
        </w:rPr>
        <w:t>MHz 1 400-1 300</w:t>
      </w:r>
      <w:r w:rsidR="00745AC7">
        <w:rPr>
          <w:rFonts w:hint="cs"/>
          <w:color w:val="000000"/>
          <w:rtl/>
          <w:lang w:bidi="ar-EG"/>
        </w:rPr>
        <w:t xml:space="preserve"> غير متوفر.</w:t>
      </w:r>
      <w:r w:rsidR="008F4626" w:rsidRPr="002919E1">
        <w:rPr>
          <w:rtl/>
        </w:rPr>
        <w:br w:type="page"/>
      </w:r>
    </w:p>
    <w:p w:rsidR="009F37C9" w:rsidRDefault="00A03AE7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A03AE7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A03AE7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B932AC" w:rsidRDefault="00A03AE7">
      <w:pPr>
        <w:pStyle w:val="Proposal"/>
      </w:pPr>
      <w:r>
        <w:rPr>
          <w:u w:val="single"/>
        </w:rPr>
        <w:t>NOC</w:t>
      </w:r>
      <w:r>
        <w:tab/>
        <w:t>CAN/38A1/1</w:t>
      </w:r>
    </w:p>
    <w:p w:rsidR="009F37C9" w:rsidRDefault="007639E0" w:rsidP="007639E0">
      <w:pPr>
        <w:pStyle w:val="Tabletitle"/>
        <w:rPr>
          <w:rFonts w:cs="Times New Roman Bold"/>
          <w:szCs w:val="22"/>
          <w:lang w:bidi="ar-EG"/>
        </w:rPr>
        <w:pPrChange w:id="2" w:author="El Wardany, Samy" w:date="2011-08-01T14:42:00Z">
          <w:pPr/>
        </w:pPrChange>
      </w:pPr>
      <w:r>
        <w:rPr>
          <w:rFonts w:cs="Times New Roman Bold"/>
          <w:szCs w:val="22"/>
        </w:rPr>
        <w:t>1 300</w:t>
      </w:r>
      <w:r>
        <w:rPr>
          <w:rFonts w:cs="Times New Roman Bold" w:hint="cs"/>
          <w:szCs w:val="22"/>
          <w:rtl/>
          <w:lang w:bidi="ar-EG"/>
        </w:rPr>
        <w:t>-</w:t>
      </w:r>
      <w:r>
        <w:rPr>
          <w:rFonts w:cs="Times New Roman Bold"/>
          <w:szCs w:val="22"/>
          <w:lang w:bidi="ar-EG"/>
        </w:rPr>
        <w:t>1 525</w:t>
      </w:r>
      <w:r>
        <w:rPr>
          <w:rFonts w:cs="Times New Roman Bold" w:hint="cs"/>
          <w:szCs w:val="22"/>
          <w:rtl/>
          <w:lang w:bidi="ar-EG"/>
        </w:rPr>
        <w:t xml:space="preserve"> </w:t>
      </w:r>
      <w:r>
        <w:rPr>
          <w:rFonts w:cs="Times New Roman Bold"/>
          <w:szCs w:val="22"/>
          <w:lang w:bidi="ar-EG"/>
        </w:rPr>
        <w:t>MHz</w:t>
      </w:r>
    </w:p>
    <w:tbl>
      <w:tblPr>
        <w:bidiVisual/>
        <w:tblW w:w="932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00"/>
        <w:gridCol w:w="3260"/>
        <w:gridCol w:w="3264"/>
      </w:tblGrid>
      <w:tr w:rsidR="004B75FA" w:rsidRPr="00E741AA" w:rsidTr="004B75FA">
        <w:trPr>
          <w:cantSplit/>
          <w:jc w:val="center"/>
        </w:trPr>
        <w:tc>
          <w:tcPr>
            <w:tcW w:w="9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A" w:rsidRPr="00E741AA" w:rsidRDefault="00A03AE7" w:rsidP="00FE7E6B">
            <w:pPr>
              <w:pStyle w:val="Tablehead"/>
            </w:pPr>
            <w:r w:rsidRPr="00E741AA">
              <w:rPr>
                <w:rtl/>
              </w:rPr>
              <w:t>التوزيع</w:t>
            </w:r>
            <w:bookmarkStart w:id="3" w:name="_GoBack"/>
            <w:bookmarkEnd w:id="3"/>
            <w:r w:rsidRPr="00E741AA">
              <w:rPr>
                <w:rtl/>
              </w:rPr>
              <w:t xml:space="preserve"> على الخدمات</w:t>
            </w:r>
          </w:p>
        </w:tc>
      </w:tr>
      <w:tr w:rsidR="004B75FA" w:rsidRPr="00E741AA" w:rsidTr="004B75FA">
        <w:trPr>
          <w:cantSplit/>
          <w:jc w:val="center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5FA" w:rsidRPr="005313DE" w:rsidRDefault="00A03AE7" w:rsidP="00FE7E6B">
            <w:pPr>
              <w:pStyle w:val="Tablehead"/>
              <w:rPr>
                <w:rFonts w:asciiTheme="minorHAnsi" w:hAnsiTheme="minorHAnsi"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5FA" w:rsidRPr="00E741AA" w:rsidRDefault="00A03AE7" w:rsidP="00FE7E6B">
            <w:pPr>
              <w:pStyle w:val="Tablehead"/>
              <w:rPr>
                <w:rtl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5FA" w:rsidRPr="00E741AA" w:rsidRDefault="00A03AE7" w:rsidP="00FE7E6B">
            <w:pPr>
              <w:pStyle w:val="Tablehead"/>
            </w:pPr>
            <w:r w:rsidRPr="00E741AA">
              <w:rPr>
                <w:rtl/>
              </w:rPr>
              <w:t xml:space="preserve">الإقليم </w:t>
            </w:r>
            <w:r w:rsidRPr="00E741AA">
              <w:t>3</w:t>
            </w:r>
          </w:p>
        </w:tc>
      </w:tr>
      <w:tr w:rsidR="004B75FA" w:rsidRPr="00E741AA" w:rsidTr="004B75FA">
        <w:trPr>
          <w:cantSplit/>
          <w:jc w:val="center"/>
        </w:trPr>
        <w:tc>
          <w:tcPr>
            <w:tcW w:w="932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5FA" w:rsidRPr="001539EF" w:rsidRDefault="00A03AE7" w:rsidP="009A4AC9">
            <w:pPr>
              <w:pStyle w:val="TabletextS5"/>
              <w:tabs>
                <w:tab w:val="left" w:pos="2838"/>
              </w:tabs>
              <w:rPr>
                <w:rStyle w:val="Artref"/>
                <w:lang w:val="fr-CH"/>
              </w:rPr>
            </w:pPr>
            <w:r>
              <w:rPr>
                <w:rStyle w:val="Tablefreq"/>
              </w:rPr>
              <w:t>1 350-1 300</w:t>
            </w:r>
            <w:r w:rsidRPr="001539EF">
              <w:rPr>
                <w:lang w:val="fr-CH"/>
              </w:rPr>
              <w:tab/>
            </w:r>
            <w:r>
              <w:rPr>
                <w:lang w:val="fr-CH"/>
              </w:rPr>
              <w:tab/>
            </w:r>
            <w:r w:rsidRPr="00637818">
              <w:rPr>
                <w:b/>
                <w:bCs/>
                <w:rtl/>
                <w:lang w:val="fr-CH"/>
              </w:rPr>
              <w:t>تحديد راديوي للموقع</w:t>
            </w:r>
          </w:p>
          <w:p w:rsidR="004B75FA" w:rsidRPr="001539EF" w:rsidRDefault="00A03AE7" w:rsidP="005C1724">
            <w:pPr>
              <w:pStyle w:val="TabletextS5"/>
              <w:tabs>
                <w:tab w:val="left" w:pos="2838"/>
              </w:tabs>
              <w:rPr>
                <w:rStyle w:val="Artref"/>
                <w:lang w:val="fr-CH"/>
              </w:rPr>
            </w:pPr>
            <w:r w:rsidRPr="001539EF">
              <w:rPr>
                <w:rStyle w:val="Artref"/>
                <w:lang w:val="fr-CH"/>
              </w:rPr>
              <w:tab/>
            </w:r>
            <w:r>
              <w:rPr>
                <w:rStyle w:val="Artref"/>
                <w:lang w:val="fr-CH"/>
              </w:rPr>
              <w:tab/>
            </w:r>
            <w:r w:rsidRPr="00637818">
              <w:rPr>
                <w:b/>
                <w:bCs/>
                <w:rtl/>
                <w:lang w:val="fr-CH"/>
              </w:rPr>
              <w:t>ملاحة راديوية للطيران</w:t>
            </w:r>
            <w:r w:rsidRPr="001539EF">
              <w:rPr>
                <w:rtl/>
                <w:lang w:val="fr-CH"/>
              </w:rPr>
              <w:t xml:space="preserve">  </w:t>
            </w:r>
            <w:r w:rsidRPr="005C1724">
              <w:rPr>
                <w:rStyle w:val="Artref"/>
                <w:b w:val="0"/>
                <w:bCs w:val="0"/>
                <w:lang w:val="fr-CH"/>
              </w:rPr>
              <w:t>337.5</w:t>
            </w:r>
          </w:p>
          <w:p w:rsidR="004B75FA" w:rsidRPr="001539EF" w:rsidRDefault="00A03AE7" w:rsidP="003C4F77">
            <w:pPr>
              <w:pStyle w:val="TabletextS5"/>
              <w:tabs>
                <w:tab w:val="left" w:pos="2838"/>
              </w:tabs>
              <w:rPr>
                <w:rStyle w:val="Artref"/>
                <w:lang w:val="fr-CH"/>
              </w:rPr>
            </w:pPr>
            <w:r w:rsidRPr="001539EF">
              <w:rPr>
                <w:rStyle w:val="Artref"/>
                <w:lang w:val="fr-CH"/>
              </w:rPr>
              <w:tab/>
            </w:r>
            <w:r>
              <w:rPr>
                <w:rStyle w:val="Artref"/>
                <w:lang w:val="fr-CH"/>
              </w:rPr>
              <w:tab/>
            </w:r>
            <w:r w:rsidRPr="00637818">
              <w:rPr>
                <w:b/>
                <w:bCs/>
                <w:rtl/>
                <w:lang w:val="fr-CH"/>
              </w:rPr>
              <w:t>ملاحة</w:t>
            </w:r>
            <w:r w:rsidRPr="00637818">
              <w:rPr>
                <w:b/>
                <w:bCs/>
                <w:rtl/>
                <w:lang w:val="fr-FR"/>
              </w:rPr>
              <w:t xml:space="preserve"> </w:t>
            </w:r>
            <w:r w:rsidRPr="00637818">
              <w:rPr>
                <w:b/>
                <w:bCs/>
                <w:rtl/>
                <w:lang w:val="fr-CH"/>
              </w:rPr>
              <w:t>راديوية</w:t>
            </w:r>
            <w:r w:rsidRPr="00637818">
              <w:rPr>
                <w:b/>
                <w:bCs/>
                <w:rtl/>
                <w:lang w:val="fr-FR"/>
              </w:rPr>
              <w:t xml:space="preserve"> </w:t>
            </w:r>
            <w:r w:rsidRPr="00637818">
              <w:rPr>
                <w:b/>
                <w:bCs/>
                <w:rtl/>
                <w:lang w:val="fr-CH"/>
              </w:rPr>
              <w:t>ساتلية</w:t>
            </w:r>
            <w:r w:rsidRPr="001539EF">
              <w:rPr>
                <w:rtl/>
                <w:lang w:val="fr-FR"/>
              </w:rPr>
              <w:t xml:space="preserve"> (</w:t>
            </w:r>
            <w:r w:rsidRPr="001539EF">
              <w:rPr>
                <w:rtl/>
                <w:lang w:val="fr-CH"/>
              </w:rPr>
              <w:t>أرض</w:t>
            </w:r>
            <w:r w:rsidRPr="001539EF">
              <w:rPr>
                <w:rtl/>
                <w:lang w:val="fr-FR"/>
              </w:rPr>
              <w:t>-</w:t>
            </w:r>
            <w:r w:rsidRPr="001539EF">
              <w:rPr>
                <w:rtl/>
                <w:lang w:val="fr-CH"/>
              </w:rPr>
              <w:t>فضاء</w:t>
            </w:r>
            <w:r w:rsidRPr="001539EF">
              <w:rPr>
                <w:rtl/>
                <w:lang w:val="fr-FR"/>
              </w:rPr>
              <w:t>)</w:t>
            </w:r>
          </w:p>
          <w:p w:rsidR="004B75FA" w:rsidRPr="00E741AA" w:rsidRDefault="00A03AE7" w:rsidP="003C4F77">
            <w:pPr>
              <w:pStyle w:val="TabletextS5"/>
              <w:tabs>
                <w:tab w:val="left" w:pos="2838"/>
              </w:tabs>
              <w:rPr>
                <w:color w:val="000000"/>
              </w:rPr>
            </w:pPr>
            <w:r>
              <w:rPr>
                <w:lang w:val="fr-CH"/>
              </w:rPr>
              <w:tab/>
            </w:r>
            <w:r w:rsidRPr="001539EF">
              <w:rPr>
                <w:lang w:val="fr-CH"/>
              </w:rPr>
              <w:tab/>
            </w:r>
            <w:r w:rsidRPr="005C1724">
              <w:rPr>
                <w:rStyle w:val="Artref"/>
                <w:b w:val="0"/>
                <w:bCs w:val="0"/>
              </w:rPr>
              <w:t>149.5</w:t>
            </w:r>
            <w:r w:rsidRPr="005C1724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5C1724">
              <w:rPr>
                <w:rStyle w:val="Artref"/>
                <w:b w:val="0"/>
                <w:bCs w:val="0"/>
              </w:rPr>
              <w:t>337A.5</w:t>
            </w:r>
          </w:p>
        </w:tc>
      </w:tr>
      <w:tr w:rsidR="004B75FA" w:rsidRPr="00E741AA" w:rsidTr="004B75FA">
        <w:trPr>
          <w:cantSplit/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5FA" w:rsidRPr="00FA3B95" w:rsidRDefault="00A03AE7" w:rsidP="00FE7E6B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1 400-1 350</w:t>
            </w:r>
          </w:p>
          <w:p w:rsidR="004B75FA" w:rsidRPr="003F1490" w:rsidRDefault="00A03AE7" w:rsidP="00FE7E6B">
            <w:pPr>
              <w:pStyle w:val="TabletextS5"/>
              <w:rPr>
                <w:b/>
                <w:bCs/>
              </w:rPr>
            </w:pPr>
            <w:r w:rsidRPr="003F1490">
              <w:rPr>
                <w:b/>
                <w:bCs/>
                <w:rtl/>
              </w:rPr>
              <w:t>ثابتة</w:t>
            </w:r>
          </w:p>
          <w:p w:rsidR="004B75FA" w:rsidRPr="00E741AA" w:rsidRDefault="00A03AE7" w:rsidP="00FE7E6B">
            <w:pPr>
              <w:pStyle w:val="TabletextS5"/>
            </w:pPr>
            <w:r w:rsidRPr="00E741AA">
              <w:rPr>
                <w:b/>
                <w:bCs/>
                <w:rtl/>
              </w:rPr>
              <w:t>متنقلة</w:t>
            </w:r>
          </w:p>
          <w:p w:rsidR="004B75FA" w:rsidRPr="00E741AA" w:rsidRDefault="00A03AE7" w:rsidP="00FE7E6B">
            <w:pPr>
              <w:pStyle w:val="TabletextS5"/>
            </w:pPr>
            <w:r w:rsidRPr="00E741AA">
              <w:rPr>
                <w:b/>
                <w:bCs/>
                <w:rtl/>
              </w:rPr>
              <w:t>تحديد راديوي للموقع</w:t>
            </w:r>
          </w:p>
        </w:tc>
        <w:tc>
          <w:tcPr>
            <w:tcW w:w="65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5FA" w:rsidRPr="00FA3B95" w:rsidRDefault="00A03AE7" w:rsidP="00FE7E6B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1 400-1 350</w:t>
            </w:r>
          </w:p>
          <w:p w:rsidR="004B75FA" w:rsidRPr="00E741AA" w:rsidRDefault="00A03AE7" w:rsidP="00FE7E6B">
            <w:pPr>
              <w:pStyle w:val="TabletextS5"/>
              <w:tabs>
                <w:tab w:val="left" w:pos="597"/>
              </w:tabs>
            </w:pPr>
            <w:r w:rsidRPr="00076D0C">
              <w:rPr>
                <w:b/>
                <w:bCs/>
                <w:rtl/>
              </w:rPr>
              <w:t>تحديد راديوي للموقع</w:t>
            </w:r>
            <w:r w:rsidRPr="00975911">
              <w:rPr>
                <w:rStyle w:val="Artref"/>
                <w:b w:val="0"/>
                <w:bCs w:val="0"/>
              </w:rPr>
              <w:t xml:space="preserve">338A.5  </w:t>
            </w:r>
          </w:p>
        </w:tc>
      </w:tr>
      <w:tr w:rsidR="004B75FA" w:rsidRPr="00E741AA" w:rsidTr="004B75FA">
        <w:trPr>
          <w:cantSplit/>
          <w:jc w:val="center"/>
        </w:trPr>
        <w:tc>
          <w:tcPr>
            <w:tcW w:w="2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5FA" w:rsidRPr="00975911" w:rsidRDefault="00A03AE7" w:rsidP="00FE7E6B">
            <w:pPr>
              <w:pStyle w:val="TabletextS5"/>
              <w:rPr>
                <w:rStyle w:val="Artref"/>
                <w:b w:val="0"/>
                <w:bCs w:val="0"/>
                <w:rtl/>
              </w:rPr>
            </w:pPr>
            <w:r w:rsidRPr="00975911">
              <w:rPr>
                <w:rStyle w:val="Artref"/>
                <w:b w:val="0"/>
                <w:bCs w:val="0"/>
              </w:rPr>
              <w:t>339.5  338A.5  338.5  149.5</w:t>
            </w:r>
          </w:p>
        </w:tc>
        <w:tc>
          <w:tcPr>
            <w:tcW w:w="652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5FA" w:rsidRPr="00975911" w:rsidRDefault="00A03AE7" w:rsidP="00FE7E6B">
            <w:pPr>
              <w:pStyle w:val="TabletextS5"/>
              <w:tabs>
                <w:tab w:val="left" w:pos="630"/>
              </w:tabs>
              <w:rPr>
                <w:rStyle w:val="Artref"/>
                <w:b w:val="0"/>
                <w:bCs w:val="0"/>
                <w:rtl/>
              </w:rPr>
            </w:pPr>
            <w:r w:rsidRPr="00975911">
              <w:rPr>
                <w:rStyle w:val="Artref"/>
                <w:b w:val="0"/>
                <w:bCs w:val="0"/>
              </w:rPr>
              <w:t>339.5  334.5  149.5</w:t>
            </w:r>
          </w:p>
        </w:tc>
      </w:tr>
    </w:tbl>
    <w:p w:rsidR="00B932AC" w:rsidRDefault="00A03AE7" w:rsidP="00745AC7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745AC7">
        <w:rPr>
          <w:rFonts w:hint="cs"/>
          <w:b w:val="0"/>
          <w:bCs w:val="0"/>
          <w:rtl/>
        </w:rPr>
        <w:t xml:space="preserve">بينت دراسات قطاع الاتصالات الراديوية أنه </w:t>
      </w:r>
      <w:r w:rsidR="00745AC7" w:rsidRPr="00745AC7">
        <w:rPr>
          <w:b w:val="0"/>
          <w:bCs w:val="0"/>
          <w:color w:val="000000"/>
          <w:rtl/>
        </w:rPr>
        <w:t xml:space="preserve">لا يمكن تقاسم الترددات المشتركة بين </w:t>
      </w:r>
      <w:r w:rsidR="00745AC7" w:rsidRPr="00745AC7">
        <w:rPr>
          <w:rFonts w:hint="cs"/>
          <w:b w:val="0"/>
          <w:bCs w:val="0"/>
          <w:color w:val="000000"/>
          <w:rtl/>
        </w:rPr>
        <w:t xml:space="preserve">أنظمة </w:t>
      </w:r>
      <w:r w:rsidR="00745AC7" w:rsidRPr="00745AC7">
        <w:rPr>
          <w:b w:val="0"/>
          <w:bCs w:val="0"/>
          <w:color w:val="000000"/>
          <w:rtl/>
        </w:rPr>
        <w:t>الاتصالات المتنقلة</w:t>
      </w:r>
      <w:r w:rsidR="00745AC7">
        <w:rPr>
          <w:rFonts w:hint="cs"/>
          <w:b w:val="0"/>
          <w:bCs w:val="0"/>
          <w:color w:val="000000"/>
          <w:rtl/>
        </w:rPr>
        <w:t xml:space="preserve"> والأنظمة القائمة للتحديد الراديوي للموقع</w:t>
      </w:r>
      <w:r w:rsidR="00745AC7" w:rsidRPr="00745AC7">
        <w:rPr>
          <w:b w:val="0"/>
          <w:bCs w:val="0"/>
          <w:color w:val="000000"/>
          <w:rtl/>
        </w:rPr>
        <w:t xml:space="preserve"> </w:t>
      </w:r>
      <w:r w:rsidR="00745AC7" w:rsidRPr="00745AC7">
        <w:rPr>
          <w:rFonts w:hint="cs"/>
          <w:b w:val="0"/>
          <w:bCs w:val="0"/>
          <w:color w:val="000000"/>
          <w:rtl/>
          <w:lang w:bidi="ar-EG"/>
        </w:rPr>
        <w:t>في المنطقة الجغرافية ذاتها</w:t>
      </w:r>
      <w:r w:rsidR="00745AC7">
        <w:rPr>
          <w:rFonts w:hint="cs"/>
          <w:b w:val="0"/>
          <w:bCs w:val="0"/>
          <w:color w:val="000000"/>
          <w:rtl/>
          <w:lang w:bidi="ar-EG"/>
        </w:rPr>
        <w:t>.</w:t>
      </w:r>
    </w:p>
    <w:p w:rsidR="005C1724" w:rsidRPr="005C1724" w:rsidRDefault="005C1724" w:rsidP="005C1724">
      <w:pPr>
        <w:spacing w:before="600"/>
        <w:jc w:val="center"/>
      </w:pPr>
      <w:r>
        <w:rPr>
          <w:rFonts w:hint="cs"/>
          <w:rtl/>
        </w:rPr>
        <w:t>___________</w:t>
      </w:r>
    </w:p>
    <w:sectPr w:rsidR="005C1724" w:rsidRPr="005C1724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5C1724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975911">
      <w:rPr>
        <w:noProof/>
        <w:lang w:val="es-ES"/>
      </w:rPr>
      <w:t>P:\ARA\ITU-R\CONF-R\CMR15\000\038ADD01A.docx</w:t>
    </w:r>
    <w:r w:rsidRPr="00CB4300">
      <w:fldChar w:fldCharType="end"/>
    </w:r>
    <w:r w:rsidRPr="00CB4300">
      <w:rPr>
        <w:lang w:val="es-ES"/>
      </w:rPr>
      <w:t xml:space="preserve">  (</w:t>
    </w:r>
    <w:r w:rsidR="005C1724">
      <w:t>387789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5E3D45">
      <w:rPr>
        <w:noProof/>
      </w:rPr>
      <w:t>25.10.15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975911">
      <w:rPr>
        <w:noProof/>
      </w:rPr>
      <w:t>25.10.15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5C1724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975911">
      <w:rPr>
        <w:noProof/>
        <w:lang w:val="es-ES"/>
      </w:rPr>
      <w:t>P:\ARA\ITU-R\CONF-R\CMR15\000\038ADD01A.docx</w:t>
    </w:r>
    <w:r>
      <w:fldChar w:fldCharType="end"/>
    </w:r>
    <w:r w:rsidRPr="00CB4300">
      <w:rPr>
        <w:lang w:val="es-ES"/>
      </w:rPr>
      <w:t xml:space="preserve">   (</w:t>
    </w:r>
    <w:r w:rsidR="005C1724">
      <w:rPr>
        <w:lang w:val="es-ES"/>
      </w:rPr>
      <w:t>387789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5E3D45">
      <w:rPr>
        <w:noProof/>
      </w:rPr>
      <w:t>25.10.15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975911">
      <w:rPr>
        <w:noProof/>
      </w:rPr>
      <w:t>25.10.15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7639E0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38(Add.1)-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222F9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27E26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360C2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09FF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A0786"/>
    <w:rsid w:val="005B00A1"/>
    <w:rsid w:val="005C1724"/>
    <w:rsid w:val="005C29C8"/>
    <w:rsid w:val="005C5D25"/>
    <w:rsid w:val="005D6D48"/>
    <w:rsid w:val="005D72A4"/>
    <w:rsid w:val="005E3D45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45AC7"/>
    <w:rsid w:val="00751251"/>
    <w:rsid w:val="007610E7"/>
    <w:rsid w:val="007639E0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75911"/>
    <w:rsid w:val="009A3D30"/>
    <w:rsid w:val="009B0BD8"/>
    <w:rsid w:val="009D6348"/>
    <w:rsid w:val="009E613F"/>
    <w:rsid w:val="009F042B"/>
    <w:rsid w:val="009F7BA0"/>
    <w:rsid w:val="00A03AE7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32AC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099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203FAC71-3040-47A9-8207-D2CC9B16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R15-WRC15-C-0038!A1!MSW-A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E298D3-0BFC-4F94-8C9F-EDAF2F44809F}">
  <ds:schemaRefs>
    <ds:schemaRef ds:uri="32a1a8c5-2265-4ebc-b7a0-2071e2c5c9bb"/>
    <ds:schemaRef ds:uri="http://purl.org/dc/dcmitype/"/>
    <ds:schemaRef ds:uri="http://schemas.microsoft.com/office/2006/documentManagement/types"/>
    <ds:schemaRef ds:uri="http://purl.org/dc/terms/"/>
    <ds:schemaRef ds:uri="996b2e75-67fd-4955-a3b0-5ab9934cb50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D2BC66-1B9D-4F40-A38C-FCD4CC76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399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R15-WRC15-C-0038!A1!MSW-A</vt:lpstr>
    </vt:vector>
  </TitlesOfParts>
  <Manager>General Secretariat - Pool</Manager>
  <Company>International Telecommunication Union (ITU)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R15-WRC15-C-0038!A1!MSW-A</dc:title>
  <dc:creator>Documents Proposals Manager (DPM)</dc:creator>
  <cp:keywords>DPM_v5.2015.10.8_prod</cp:keywords>
  <cp:lastModifiedBy>Eltawabti, Ibrahim</cp:lastModifiedBy>
  <cp:revision>5</cp:revision>
  <cp:lastPrinted>2015-10-25T09:55:00Z</cp:lastPrinted>
  <dcterms:created xsi:type="dcterms:W3CDTF">2015-10-25T09:51:00Z</dcterms:created>
  <dcterms:modified xsi:type="dcterms:W3CDTF">2015-10-28T19:06:00Z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