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38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1163C7">
            <w:pPr>
              <w:pStyle w:val="Source"/>
            </w:pPr>
            <w:r>
              <w:t>Canada</w:t>
            </w:r>
            <w:r w:rsidR="001163C7">
              <w:t xml:space="preserve">, </w:t>
            </w:r>
            <w:r>
              <w:t>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B54ACC"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1163C7" w:rsidRPr="001163C7" w:rsidRDefault="001163C7" w:rsidP="001163C7">
      <w:pPr>
        <w:pStyle w:val="Agendaitem"/>
        <w:rPr>
          <w:lang w:val="en-GB"/>
        </w:rPr>
      </w:pPr>
      <w:r w:rsidRPr="001163C7">
        <w:rPr>
          <w:u w:val="single"/>
          <w:lang w:val="en-GB"/>
        </w:rPr>
        <w:t>NOC</w:t>
      </w:r>
      <w:r w:rsidRPr="001163C7">
        <w:rPr>
          <w:lang w:val="en-GB"/>
        </w:rPr>
        <w:t xml:space="preserve"> 1 300–1 400 MHz</w:t>
      </w:r>
    </w:p>
    <w:p w:rsidR="001163C7" w:rsidRDefault="001163C7" w:rsidP="001163C7">
      <w:pPr>
        <w:pStyle w:val="Headingb"/>
      </w:pPr>
      <w:r>
        <w:t>Background</w:t>
      </w:r>
    </w:p>
    <w:p w:rsidR="001163C7" w:rsidRDefault="001163C7" w:rsidP="001163C7">
      <w:r>
        <w:t>The 2012 World Radiocommunication Conference (WRC-12) recognized a need for additional radio spectrum to support the increasing mobile data traffic, and placed consideration of additional spectrum allocations for terrestrial mobile broadband applications on the agenda for WRC-15.</w:t>
      </w:r>
    </w:p>
    <w:p w:rsidR="001163C7" w:rsidRDefault="001163C7" w:rsidP="001163C7">
      <w:r>
        <w:t xml:space="preserve">In Region 1, the frequency range 1 350-1 400 MHz has co-primary allocations to the fixed service (FS), mobile service (MS), and radiolocation services. In addition, the 1 350-1 370 MHz frequency band has a co-primary allocation to the aeronautical radionavigation service in the United States and Canada via footnote </w:t>
      </w:r>
      <w:r w:rsidRPr="006905BC">
        <w:t>No. </w:t>
      </w:r>
      <w:r>
        <w:t>5.334.</w:t>
      </w:r>
    </w:p>
    <w:p w:rsidR="001163C7" w:rsidRDefault="001163C7" w:rsidP="001163C7">
      <w:r>
        <w:t xml:space="preserve">The ITU established the Joint Task Group (JTG) 4-5-6-7 to consider spectrum requirements for IMT/mobile broadband and conduct compatibility studies taking into account protection requirements of other services from concerned ITU-R Working Parties. </w:t>
      </w:r>
    </w:p>
    <w:p w:rsidR="001163C7" w:rsidRDefault="001163C7" w:rsidP="001163C7">
      <w:r>
        <w:t>JTG 4-5-6-7 conducted studies on the compatibility between IMT systems and the radars that operate in the 1 300-1 400 MHz range and all studies show that co-frequency sharing between radars and IMT systems in the same geographical area is not feasible. These studies are contained in the JTG 4-5-6-7 Chairman’s Report (Annex 25). Additionally, the studies show that global harmonization of this band for IMT use may not be feasible and that any use of portions of this frequency range for IMT is possible only at the national level. Therefore, the identification for IMT in the frequency band 1</w:t>
      </w:r>
      <w:r w:rsidR="009165F5">
        <w:t xml:space="preserve"> </w:t>
      </w:r>
      <w:r>
        <w:t>300-1</w:t>
      </w:r>
      <w:r w:rsidR="009165F5">
        <w:t xml:space="preserve"> </w:t>
      </w:r>
      <w:r>
        <w:t>400 MHz is not supported.</w:t>
      </w:r>
    </w:p>
    <w:p w:rsidR="00187BD9" w:rsidRPr="001163C7" w:rsidRDefault="00187BD9" w:rsidP="00187BD9">
      <w:pPr>
        <w:tabs>
          <w:tab w:val="clear" w:pos="1134"/>
          <w:tab w:val="clear" w:pos="1871"/>
          <w:tab w:val="clear" w:pos="2268"/>
        </w:tabs>
        <w:overflowPunct/>
        <w:autoSpaceDE/>
        <w:autoSpaceDN/>
        <w:adjustRightInd/>
        <w:spacing w:before="0"/>
        <w:textAlignment w:val="auto"/>
      </w:pPr>
      <w:r w:rsidRPr="001163C7">
        <w:br w:type="page"/>
      </w:r>
    </w:p>
    <w:p w:rsidR="009B463A" w:rsidRDefault="00B54ACC"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B54ACC" w:rsidP="009B463A">
      <w:pPr>
        <w:pStyle w:val="Arttitle"/>
        <w:rPr>
          <w:lang w:val="en-US"/>
        </w:rPr>
      </w:pPr>
      <w:bookmarkStart w:id="10" w:name="_Toc327956583"/>
      <w:r w:rsidRPr="006D07BF">
        <w:t>Frequency</w:t>
      </w:r>
      <w:r>
        <w:t xml:space="preserve"> allocations</w:t>
      </w:r>
      <w:bookmarkEnd w:id="10"/>
    </w:p>
    <w:p w:rsidR="009B463A" w:rsidRPr="00B25B23" w:rsidRDefault="00B54AC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955D8" w:rsidRDefault="00B54ACC">
      <w:pPr>
        <w:pStyle w:val="Proposal"/>
      </w:pPr>
      <w:r>
        <w:rPr>
          <w:u w:val="single"/>
        </w:rPr>
        <w:t>NOC</w:t>
      </w:r>
      <w:r>
        <w:tab/>
        <w:t>CAN/USA/38A1/1</w:t>
      </w:r>
    </w:p>
    <w:p w:rsidR="009B463A" w:rsidRDefault="00B54ACC"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B463A" w:rsidTr="004775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B54ACC"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B54ACC" w:rsidP="00477577">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B54ACC"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B54ACC" w:rsidP="00477577">
            <w:pPr>
              <w:pStyle w:val="Tablehead"/>
            </w:pPr>
            <w:r w:rsidRPr="002B657C">
              <w:t>Region 3</w:t>
            </w:r>
          </w:p>
        </w:tc>
      </w:tr>
      <w:tr w:rsidR="009B463A" w:rsidTr="00477577">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rsidR="009B463A" w:rsidRDefault="00B54ACC" w:rsidP="00477577">
            <w:pPr>
              <w:pStyle w:val="TableTextS5"/>
              <w:rPr>
                <w:color w:val="000000"/>
              </w:rPr>
            </w:pPr>
            <w:r w:rsidRPr="005279B9">
              <w:rPr>
                <w:rStyle w:val="Tablefreq"/>
              </w:rPr>
              <w:t>1 300-1 350</w:t>
            </w:r>
            <w:r>
              <w:rPr>
                <w:color w:val="000000"/>
              </w:rPr>
              <w:tab/>
            </w:r>
            <w:r>
              <w:rPr>
                <w:color w:val="000000"/>
                <w:lang w:val="en-US"/>
              </w:rPr>
              <w:t>RADIOLOCATION</w:t>
            </w:r>
            <w:r>
              <w:rPr>
                <w:color w:val="000000"/>
              </w:rPr>
              <w:t xml:space="preserve"> </w:t>
            </w:r>
          </w:p>
          <w:p w:rsidR="009B463A" w:rsidRPr="000913F7" w:rsidRDefault="00B54ACC" w:rsidP="00477577">
            <w:pPr>
              <w:pStyle w:val="TableTextS5"/>
              <w:rPr>
                <w:color w:val="000000"/>
                <w:lang w:val="en-US"/>
              </w:rPr>
            </w:pPr>
            <w:r>
              <w:rPr>
                <w:color w:val="000000"/>
              </w:rPr>
              <w:tab/>
            </w:r>
            <w:r>
              <w:rPr>
                <w:color w:val="000000"/>
              </w:rPr>
              <w:tab/>
            </w:r>
            <w:r>
              <w:rPr>
                <w:color w:val="000000"/>
              </w:rPr>
              <w:tab/>
            </w:r>
            <w:r>
              <w:rPr>
                <w:color w:val="000000"/>
              </w:rPr>
              <w:tab/>
              <w:t xml:space="preserve">AERONAUTICAL RADIONAVIGATION  </w:t>
            </w:r>
            <w:r>
              <w:rPr>
                <w:rStyle w:val="Artref"/>
                <w:color w:val="000000"/>
              </w:rPr>
              <w:t>5.337</w:t>
            </w:r>
          </w:p>
          <w:p w:rsidR="009B463A" w:rsidRDefault="00B54ACC" w:rsidP="00477577">
            <w:pPr>
              <w:pStyle w:val="TableTextS5"/>
              <w:rPr>
                <w:color w:val="000000"/>
                <w:lang w:val="en-AU"/>
              </w:rPr>
            </w:pPr>
            <w:r>
              <w:rPr>
                <w:color w:val="000000"/>
              </w:rPr>
              <w:tab/>
            </w:r>
            <w:r>
              <w:rPr>
                <w:color w:val="000000"/>
              </w:rPr>
              <w:tab/>
            </w:r>
            <w:r>
              <w:rPr>
                <w:color w:val="000000"/>
              </w:rPr>
              <w:tab/>
            </w:r>
            <w:r>
              <w:rPr>
                <w:color w:val="000000"/>
              </w:rPr>
              <w:tab/>
            </w:r>
            <w:r>
              <w:rPr>
                <w:color w:val="000000"/>
                <w:lang w:val="en-US"/>
              </w:rPr>
              <w:t>RADIONAVIGATION-SATELLITE (Earth-to-space)</w:t>
            </w:r>
          </w:p>
          <w:p w:rsidR="009B463A" w:rsidRDefault="00B54ACC"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US"/>
              </w:rPr>
              <w:t>5.149</w:t>
            </w:r>
            <w:r>
              <w:rPr>
                <w:color w:val="000000"/>
              </w:rPr>
              <w:t xml:space="preserve">  </w:t>
            </w:r>
            <w:r>
              <w:rPr>
                <w:rStyle w:val="Artref"/>
                <w:color w:val="000000"/>
                <w:lang w:val="en-US"/>
              </w:rPr>
              <w:t>5.337A</w:t>
            </w:r>
          </w:p>
        </w:tc>
      </w:tr>
      <w:tr w:rsidR="009B463A" w:rsidTr="00477577">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5279B9" w:rsidRDefault="00B54ACC" w:rsidP="00477577">
            <w:pPr>
              <w:pStyle w:val="TableTextS5"/>
              <w:rPr>
                <w:rStyle w:val="Tablefreq"/>
              </w:rPr>
            </w:pPr>
            <w:r w:rsidRPr="005279B9">
              <w:rPr>
                <w:rStyle w:val="Tablefreq"/>
              </w:rPr>
              <w:t>1 350-1 400</w:t>
            </w:r>
          </w:p>
          <w:p w:rsidR="009B463A" w:rsidRDefault="00B54ACC" w:rsidP="00477577">
            <w:pPr>
              <w:pStyle w:val="TableTextS5"/>
              <w:rPr>
                <w:color w:val="000000"/>
              </w:rPr>
            </w:pPr>
            <w:r>
              <w:rPr>
                <w:color w:val="000000"/>
              </w:rPr>
              <w:t>FIXED</w:t>
            </w:r>
          </w:p>
          <w:p w:rsidR="009B463A" w:rsidRDefault="00B54ACC" w:rsidP="00477577">
            <w:pPr>
              <w:pStyle w:val="TableTextS5"/>
              <w:rPr>
                <w:color w:val="000000"/>
              </w:rPr>
            </w:pPr>
            <w:r>
              <w:rPr>
                <w:color w:val="000000"/>
              </w:rPr>
              <w:t>MOBILE</w:t>
            </w:r>
          </w:p>
          <w:p w:rsidR="009B463A" w:rsidRDefault="00B54ACC" w:rsidP="00477577">
            <w:pPr>
              <w:pStyle w:val="TableTextS5"/>
              <w:rPr>
                <w:color w:val="000000"/>
              </w:rPr>
            </w:pPr>
            <w:r>
              <w:rPr>
                <w:color w:val="000000"/>
              </w:rPr>
              <w:t>RADIOLOCATION</w:t>
            </w:r>
          </w:p>
          <w:p w:rsidR="009B463A" w:rsidRDefault="00B54ACC" w:rsidP="00477577">
            <w:pPr>
              <w:pStyle w:val="TableTextS5"/>
              <w:rPr>
                <w:color w:val="000000"/>
                <w:lang w:val="fr-FR"/>
              </w:rPr>
            </w:pPr>
            <w:r>
              <w:rPr>
                <w:rStyle w:val="Artref"/>
                <w:color w:val="000000"/>
              </w:rPr>
              <w:t>5.149</w:t>
            </w:r>
            <w:r>
              <w:rPr>
                <w:color w:val="000000"/>
              </w:rPr>
              <w:t xml:space="preserve">  </w:t>
            </w:r>
            <w:r>
              <w:rPr>
                <w:rStyle w:val="Artref"/>
                <w:color w:val="000000"/>
              </w:rPr>
              <w:t>5.338</w:t>
            </w:r>
            <w:r>
              <w:rPr>
                <w:color w:val="000000"/>
              </w:rPr>
              <w:t xml:space="preserve">  </w:t>
            </w:r>
            <w:r>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9B463A" w:rsidRPr="005279B9" w:rsidRDefault="00B54ACC" w:rsidP="00477577">
            <w:pPr>
              <w:pStyle w:val="TableTextS5"/>
              <w:rPr>
                <w:rStyle w:val="Tablefreq"/>
              </w:rPr>
            </w:pPr>
            <w:r w:rsidRPr="005279B9">
              <w:rPr>
                <w:rStyle w:val="Tablefreq"/>
              </w:rPr>
              <w:t>1 350-1 400</w:t>
            </w:r>
          </w:p>
          <w:p w:rsidR="009B463A" w:rsidRDefault="00B54ACC" w:rsidP="00477577">
            <w:pPr>
              <w:pStyle w:val="TableTextS5"/>
              <w:tabs>
                <w:tab w:val="clear" w:pos="170"/>
                <w:tab w:val="left" w:pos="459"/>
              </w:tabs>
              <w:rPr>
                <w:color w:val="000000"/>
              </w:rPr>
            </w:pPr>
            <w:r>
              <w:rPr>
                <w:color w:val="000000"/>
              </w:rPr>
              <w:tab/>
              <w:t>RADIOLOCATION  5.338A</w:t>
            </w:r>
          </w:p>
          <w:p w:rsidR="009B463A" w:rsidRDefault="005A05F1" w:rsidP="00477577">
            <w:pPr>
              <w:pStyle w:val="TableTextS5"/>
              <w:rPr>
                <w:color w:val="000000"/>
              </w:rPr>
            </w:pPr>
          </w:p>
          <w:p w:rsidR="009B463A" w:rsidRDefault="005A05F1" w:rsidP="00477577">
            <w:pPr>
              <w:pStyle w:val="TableTextS5"/>
              <w:rPr>
                <w:color w:val="000000"/>
              </w:rPr>
            </w:pPr>
          </w:p>
          <w:p w:rsidR="009B463A" w:rsidRDefault="00B54ACC" w:rsidP="00477577">
            <w:pPr>
              <w:pStyle w:val="TableTextS5"/>
              <w:tabs>
                <w:tab w:val="clear" w:pos="170"/>
                <w:tab w:val="left" w:pos="459"/>
              </w:tabs>
              <w:rPr>
                <w:color w:val="000000"/>
                <w:lang w:val="fr-FR"/>
              </w:rPr>
            </w:pPr>
            <w:r>
              <w:rPr>
                <w:rStyle w:val="Artref"/>
                <w:color w:val="000000"/>
              </w:rPr>
              <w:tab/>
              <w:t>5.149</w:t>
            </w:r>
            <w:r>
              <w:rPr>
                <w:color w:val="000000"/>
              </w:rPr>
              <w:t xml:space="preserve">  </w:t>
            </w:r>
            <w:r>
              <w:rPr>
                <w:rStyle w:val="Artref"/>
                <w:color w:val="000000"/>
              </w:rPr>
              <w:t>5.334</w:t>
            </w:r>
            <w:r>
              <w:rPr>
                <w:color w:val="000000"/>
              </w:rPr>
              <w:t xml:space="preserve">  </w:t>
            </w:r>
            <w:r>
              <w:rPr>
                <w:rStyle w:val="Artref"/>
                <w:color w:val="000000"/>
              </w:rPr>
              <w:t>5.339</w:t>
            </w:r>
          </w:p>
        </w:tc>
      </w:tr>
    </w:tbl>
    <w:p w:rsidR="00C955D8" w:rsidRDefault="00B54ACC">
      <w:pPr>
        <w:pStyle w:val="Reasons"/>
        <w:rPr>
          <w:szCs w:val="24"/>
        </w:rPr>
      </w:pPr>
      <w:r>
        <w:rPr>
          <w:b/>
        </w:rPr>
        <w:t>Reasons:</w:t>
      </w:r>
      <w:r>
        <w:tab/>
      </w:r>
      <w:r>
        <w:rPr>
          <w:szCs w:val="24"/>
        </w:rPr>
        <w:t>ITU-R studies show that co-frequency sharing between IMT and incumbent radiolocation systems in the same geographical area is not feasible.</w:t>
      </w:r>
    </w:p>
    <w:p w:rsidR="00B54ACC" w:rsidRDefault="00B54ACC">
      <w:pPr>
        <w:pStyle w:val="Reasons"/>
        <w:rPr>
          <w:szCs w:val="24"/>
        </w:rPr>
      </w:pPr>
    </w:p>
    <w:p w:rsidR="00B54ACC" w:rsidRDefault="00B54ACC" w:rsidP="0032202E">
      <w:pPr>
        <w:pStyle w:val="Reasons"/>
      </w:pPr>
    </w:p>
    <w:p w:rsidR="00B54ACC" w:rsidRDefault="00B54ACC">
      <w:pPr>
        <w:jc w:val="center"/>
      </w:pPr>
      <w:r>
        <w:t>______________</w:t>
      </w:r>
    </w:p>
    <w:p w:rsidR="00B54ACC" w:rsidRDefault="00B54ACC">
      <w:pPr>
        <w:pStyle w:val="Reasons"/>
      </w:pPr>
    </w:p>
    <w:sectPr w:rsidR="00B54AC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B728C">
      <w:rPr>
        <w:noProof/>
      </w:rPr>
      <w:t>12.10.15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5A05F1" w:rsidP="00A30305">
    <w:pPr>
      <w:pStyle w:val="Footer"/>
    </w:pPr>
    <w:r>
      <w:fldChar w:fldCharType="begin"/>
    </w:r>
    <w:r>
      <w:instrText xml:space="preserve"> FILENAME \p  \* MERGEFORMAT </w:instrText>
    </w:r>
    <w:r>
      <w:fldChar w:fldCharType="separate"/>
    </w:r>
    <w:r>
      <w:t>P:\ENG\ITU-R\CONF-R\CMR15\000\038ADD01E.docx</w:t>
    </w:r>
    <w:r>
      <w:fldChar w:fldCharType="end"/>
    </w:r>
    <w:r>
      <w:t xml:space="preserve"> (387789)</w:t>
    </w:r>
    <w:r>
      <w:tab/>
    </w:r>
    <w:r>
      <w:fldChar w:fldCharType="begin"/>
    </w:r>
    <w:r>
      <w:instrText xml:space="preserve"> SAVEDATE \@ DD.MM.YY </w:instrText>
    </w:r>
    <w:r>
      <w:fldChar w:fldCharType="separate"/>
    </w:r>
    <w:r>
      <w:t>12.10.15</w:t>
    </w:r>
    <w:r>
      <w:fldChar w:fldCharType="end"/>
    </w:r>
    <w:r>
      <w:tab/>
    </w:r>
    <w:r>
      <w:fldChar w:fldCharType="begin"/>
    </w:r>
    <w:r>
      <w:instrText xml:space="preserve"> PRINTDATE \@ DD.MM.YY </w:instrText>
    </w:r>
    <w:r>
      <w:fldChar w:fldCharType="separate"/>
    </w:r>
    <w:r>
      <w:t>10.02.14</w:t>
    </w:r>
    <w:r>
      <w:fldChar w:fldCharType="end"/>
    </w: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A3" w:rsidRDefault="009149A3">
    <w:pPr>
      <w:pStyle w:val="Footer"/>
    </w:pPr>
    <w:fldSimple w:instr=" FILENAME \p  \* MERGEFORMAT ">
      <w:r>
        <w:t>P:\ENG\ITU-R\CONF-R\CMR15\000\038ADD01E.docx</w:t>
      </w:r>
    </w:fldSimple>
    <w:r>
      <w:t xml:space="preserve"> (387789)</w:t>
    </w:r>
    <w:r>
      <w:tab/>
    </w:r>
    <w:r>
      <w:fldChar w:fldCharType="begin"/>
    </w:r>
    <w:r>
      <w:instrText xml:space="preserve"> SAVEDATE \@ DD.MM.YY </w:instrText>
    </w:r>
    <w:r>
      <w:fldChar w:fldCharType="separate"/>
    </w:r>
    <w:r>
      <w:t>12.10.15</w:t>
    </w:r>
    <w:r>
      <w:fldChar w:fldCharType="end"/>
    </w:r>
    <w:r>
      <w:tab/>
    </w:r>
    <w:r>
      <w:fldChar w:fldCharType="begin"/>
    </w:r>
    <w:r>
      <w:instrText xml:space="preserve"> PRINTDATE \@ DD.MM.YY </w:instrText>
    </w:r>
    <w:r>
      <w:fldChar w:fldCharType="separate"/>
    </w:r>
    <w:r>
      <w:t>10.02.14</w:t>
    </w:r>
    <w:r>
      <w:fldChar w:fldCharType="end"/>
    </w:r>
  </w:p>
  <w:p w:rsidR="00E45D05" w:rsidRPr="0041348E" w:rsidRDefault="00E45D05" w:rsidP="009149A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A3" w:rsidRDefault="00914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A05F1">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38(Add.1)</w:t>
    </w:r>
    <w:bookmarkEnd w:id="11"/>
    <w:bookmarkEnd w:id="12"/>
    <w:bookmarkEnd w:id="13"/>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A3" w:rsidRDefault="00914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163C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74CD3"/>
    <w:rsid w:val="005964AB"/>
    <w:rsid w:val="005A05F1"/>
    <w:rsid w:val="005B728C"/>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149A3"/>
    <w:rsid w:val="009165F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54AC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55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1EAF"/>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78B2BE-AB12-4D6C-95F8-408E638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R15-WRC15-C-0038!A1!MSW-E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75629-3A77-4161-96D8-7C2364E6001B}">
  <ds:schemaRefs>
    <ds:schemaRef ds:uri="http://schemas.microsoft.com/office/2006/documentManagement/types"/>
    <ds:schemaRef ds:uri="996b2e75-67fd-4955-a3b0-5ab9934cb50b"/>
    <ds:schemaRef ds:uri="http://purl.org/dc/elements/1.1/"/>
    <ds:schemaRef ds:uri="http://schemas.microsoft.com/office/infopath/2007/PartnerControls"/>
    <ds:schemaRef ds:uri="http://www.w3.org/XML/1998/namespace"/>
    <ds:schemaRef ds:uri="http://purl.org/dc/terms/"/>
    <ds:schemaRef ds:uri="32a1a8c5-2265-4ebc-b7a0-2071e2c5c9bb"/>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DED14E9-15E1-4452-87D6-C054DDFC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397</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R15-WRC15-C-0038!A1!MSW-E</vt:lpstr>
    </vt:vector>
  </TitlesOfParts>
  <Manager>General Secretariat - Pool</Manager>
  <Company>International Telecommunication Union (ITU)</Company>
  <LinksUpToDate>false</LinksUpToDate>
  <CharactersWithSpaces>2758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R15-WRC15-C-0038!A1!MSW-E</dc:title>
  <dc:subject>World Radiocommunication Conference - 2015</dc:subject>
  <dc:creator>Documents Proposals Manager (DPM)</dc:creator>
  <cp:keywords>DPM_v5.2015.9.16_prod</cp:keywords>
  <dc:description>Uploaded on 2015.07.06</dc:description>
  <cp:lastModifiedBy>Silva, Alison</cp:lastModifiedBy>
  <cp:revision>4</cp:revision>
  <cp:lastPrinted>2014-02-10T09:49:00Z</cp:lastPrinted>
  <dcterms:created xsi:type="dcterms:W3CDTF">2015-10-12T14:37:00Z</dcterms:created>
  <dcterms:modified xsi:type="dcterms:W3CDTF">2015-10-12T14:42:00Z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