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736F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</w:rPr>
            </w:pPr>
            <w:r w:rsidRPr="005736F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736F8" w:rsidRDefault="003E1608" w:rsidP="005736F8">
            <w:pPr>
              <w:pStyle w:val="Adress"/>
              <w:framePr w:hSpace="0" w:wrap="auto" w:xAlign="left" w:yAlign="inline"/>
              <w:rPr>
                <w:rtl/>
              </w:rPr>
            </w:pPr>
            <w:r w:rsidRPr="005736F8">
              <w:rPr>
                <w:rtl/>
              </w:rPr>
              <w:t xml:space="preserve">الوثيقة </w:t>
            </w:r>
            <w:r w:rsidRPr="005736F8">
              <w:t>49-</w:t>
            </w:r>
            <w:r w:rsidR="005736F8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736F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736F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736F8">
              <w:rPr>
                <w:rFonts w:eastAsia="SimSun"/>
              </w:rPr>
              <w:t>8</w:t>
            </w:r>
            <w:r w:rsidRPr="005736F8">
              <w:rPr>
                <w:rFonts w:eastAsia="SimSun"/>
                <w:rtl/>
              </w:rPr>
              <w:t xml:space="preserve"> أكتوبر </w:t>
            </w:r>
            <w:r w:rsidRPr="005736F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736F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736F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736F8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C72FF5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الجزائر الديمقراطية الشعبية/جمهورية جيبوتي/جمهورية مصر العربية/</w:t>
            </w:r>
            <w:r w:rsidR="00DA019A">
              <w:rPr>
                <w:rtl/>
              </w:rPr>
              <w:br/>
            </w:r>
            <w:r w:rsidRPr="008204AC">
              <w:rPr>
                <w:rtl/>
              </w:rPr>
              <w:t>لبنـان/جمهورية السودان/تونس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</w:t>
            </w:r>
            <w:r w:rsidR="00302305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مؤت</w:t>
            </w:r>
            <w:r w:rsidR="00302305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736F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736F8">
              <w:t>11.1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4A7008" w:rsidP="005736F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توزيع أولي لخدمة استكشاف الأرض الساتلية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(EESS)</w:t>
      </w:r>
      <w:r w:rsidRPr="00431196">
        <w:rPr>
          <w:rFonts w:eastAsia="SimSun"/>
          <w:rtl/>
        </w:rPr>
        <w:t xml:space="preserve"> (أرض-فضاء) في </w:t>
      </w:r>
      <w:r w:rsidRPr="00431196">
        <w:rPr>
          <w:rFonts w:eastAsia="SimSun" w:hint="cs"/>
          <w:rtl/>
        </w:rPr>
        <w:t xml:space="preserve">المدى </w:t>
      </w:r>
      <w:r w:rsidRPr="00431196">
        <w:rPr>
          <w:rFonts w:eastAsia="SimSun"/>
        </w:rPr>
        <w:t>GHz 8</w:t>
      </w:r>
      <w:r w:rsidRPr="00431196">
        <w:rPr>
          <w:rFonts w:eastAsia="SimSun"/>
        </w:rPr>
        <w:noBreakHyphen/>
        <w:t>7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650 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b/>
          <w:rtl/>
        </w:rPr>
        <w:t>؛</w:t>
      </w:r>
    </w:p>
    <w:p w:rsidR="001B47C8" w:rsidRPr="001B47C8" w:rsidRDefault="001B47C8" w:rsidP="001B47C8">
      <w:pPr>
        <w:rPr>
          <w:rFonts w:eastAsia="SimSun" w:hint="cs"/>
          <w:lang w:bidi="ar-EG"/>
        </w:rPr>
      </w:pPr>
      <w:bookmarkStart w:id="1" w:name="_GoBack"/>
      <w:bookmarkEnd w:id="1"/>
    </w:p>
    <w:p w:rsidR="00EB0C4F" w:rsidRDefault="00EB0C4F" w:rsidP="00A84F2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16602" w:rsidRPr="00A84F2B" w:rsidRDefault="00EB0C4F" w:rsidP="00EB0C4F">
      <w:pPr>
        <w:rPr>
          <w:rtl/>
        </w:rPr>
      </w:pPr>
      <w:r w:rsidRPr="00A84F2B">
        <w:rPr>
          <w:rFonts w:hint="cs"/>
          <w:rtl/>
        </w:rPr>
        <w:t xml:space="preserve">دعا القرار </w:t>
      </w:r>
      <w:r w:rsidRPr="00A84F2B">
        <w:t>650 (WRC</w:t>
      </w:r>
      <w:r w:rsidRPr="00A84F2B">
        <w:noBreakHyphen/>
        <w:t>12)</w:t>
      </w:r>
      <w:r w:rsidRPr="00A84F2B">
        <w:rPr>
          <w:rFonts w:hint="cs"/>
          <w:rtl/>
        </w:rPr>
        <w:t xml:space="preserve"> قطاع الاتصالات الراديوية إلى إجراء دراسة بشأن المتطلبات من الطيف في مدى التردد</w:t>
      </w:r>
      <w:r w:rsidRPr="00A84F2B">
        <w:rPr>
          <w:rFonts w:hint="eastAsia"/>
          <w:rtl/>
        </w:rPr>
        <w:t> </w:t>
      </w:r>
      <w:r w:rsidRPr="00A84F2B">
        <w:t>GHz 8</w:t>
      </w:r>
      <w:r w:rsidRPr="00A84F2B">
        <w:noBreakHyphen/>
        <w:t>7</w:t>
      </w:r>
      <w:r w:rsidRPr="00A84F2B">
        <w:rPr>
          <w:rFonts w:hint="cs"/>
          <w:rtl/>
        </w:rPr>
        <w:t xml:space="preserve"> لعمليات التحكم عن بُعد لخدمة استكشاف الأرض الساتلية (أرض-فضاء) بغية استكمال عمليات القياس عن بُعد لخدمة استكشاف الأرض الساتلية (فضاء-أرض) في نطاق التردد</w:t>
      </w:r>
      <w:r w:rsidRPr="00A84F2B">
        <w:rPr>
          <w:rFonts w:hint="eastAsia"/>
          <w:rtl/>
        </w:rPr>
        <w:t> </w:t>
      </w:r>
      <w:r w:rsidRPr="00A84F2B">
        <w:t>MHz 8 400</w:t>
      </w:r>
      <w:r w:rsidRPr="00A84F2B">
        <w:noBreakHyphen/>
        <w:t>8 025</w:t>
      </w:r>
      <w:r w:rsidRPr="00A84F2B">
        <w:rPr>
          <w:rFonts w:hint="cs"/>
          <w:rtl/>
        </w:rPr>
        <w:t>، و</w:t>
      </w:r>
      <w:r w:rsidRPr="00A84F2B">
        <w:rPr>
          <w:rtl/>
        </w:rPr>
        <w:t>إجراء دراسات</w:t>
      </w:r>
      <w:r w:rsidRPr="00A84F2B">
        <w:rPr>
          <w:rFonts w:hint="cs"/>
          <w:rtl/>
        </w:rPr>
        <w:t xml:space="preserve"> عن التوافق</w:t>
      </w:r>
      <w:r w:rsidRPr="00A84F2B">
        <w:rPr>
          <w:rtl/>
        </w:rPr>
        <w:t xml:space="preserve"> بين أنظمة خدمة استكشاف الأرض الساتلية (أرض-فضاء) والخدمات الحالية</w:t>
      </w:r>
      <w:r w:rsidRPr="00A84F2B">
        <w:rPr>
          <w:rFonts w:hint="cs"/>
          <w:rtl/>
        </w:rPr>
        <w:t xml:space="preserve">، على أن تكون الأولوية لنطاق التردد </w:t>
      </w:r>
      <w:r w:rsidRPr="00A84F2B">
        <w:t>MHz 7 235</w:t>
      </w:r>
      <w:r w:rsidRPr="00A84F2B">
        <w:noBreakHyphen/>
        <w:t>7 145</w:t>
      </w:r>
      <w:r w:rsidRPr="00A84F2B">
        <w:rPr>
          <w:rFonts w:hint="cs"/>
          <w:rtl/>
        </w:rPr>
        <w:t xml:space="preserve">، ثم لأجزاء أخرى من مدى التردد </w:t>
      </w:r>
      <w:r w:rsidRPr="00A84F2B">
        <w:rPr>
          <w:rFonts w:hint="cs"/>
        </w:rPr>
        <w:t>GHz</w:t>
      </w:r>
      <w:r w:rsidRPr="00A84F2B">
        <w:rPr>
          <w:rFonts w:hint="eastAsia"/>
        </w:rPr>
        <w:t> </w:t>
      </w:r>
      <w:r w:rsidRPr="00A84F2B">
        <w:t>8</w:t>
      </w:r>
      <w:r w:rsidRPr="00A84F2B">
        <w:noBreakHyphen/>
        <w:t>7</w:t>
      </w:r>
      <w:r w:rsidRPr="00A84F2B">
        <w:rPr>
          <w:rFonts w:hint="cs"/>
          <w:rtl/>
        </w:rPr>
        <w:t xml:space="preserve"> وذلك فقط إذا ما تبين أن نطاق التردد </w:t>
      </w:r>
      <w:r w:rsidRPr="00A84F2B">
        <w:t>MHz 7 235</w:t>
      </w:r>
      <w:r w:rsidRPr="00A84F2B">
        <w:noBreakHyphen/>
        <w:t>7 145</w:t>
      </w:r>
      <w:r w:rsidRPr="00A84F2B">
        <w:rPr>
          <w:rFonts w:hint="cs"/>
          <w:rtl/>
        </w:rPr>
        <w:t xml:space="preserve"> غير مناسب.</w:t>
      </w:r>
    </w:p>
    <w:p w:rsidR="00EB0C4F" w:rsidRPr="00A84F2B" w:rsidRDefault="00EB0C4F" w:rsidP="006332D4">
      <w:pPr>
        <w:rPr>
          <w:rtl/>
        </w:rPr>
      </w:pPr>
      <w:r w:rsidRPr="00A84F2B">
        <w:rPr>
          <w:rFonts w:hint="cs"/>
          <w:rtl/>
          <w:lang w:bidi="ar-EG"/>
        </w:rPr>
        <w:t>وأشارت دراسات قطاع الاتصالات الراديوية</w:t>
      </w:r>
      <w:r w:rsidRPr="00A84F2B">
        <w:rPr>
          <w:rFonts w:hint="cs"/>
          <w:rtl/>
        </w:rPr>
        <w:t xml:space="preserve"> إلى أن متطلبات الطيف في أنظمة خدمة استكشاف الأرض الساتلية تتراوح بين </w:t>
      </w:r>
      <w:r w:rsidRPr="00A84F2B">
        <w:t>38</w:t>
      </w:r>
      <w:r w:rsidRPr="00A84F2B">
        <w:rPr>
          <w:rFonts w:hint="cs"/>
          <w:rtl/>
        </w:rPr>
        <w:t xml:space="preserve"> و</w:t>
      </w:r>
      <w:r w:rsidRPr="00A84F2B">
        <w:t>MHz 56</w:t>
      </w:r>
      <w:r w:rsidRPr="00A84F2B">
        <w:rPr>
          <w:rFonts w:hint="cs"/>
          <w:rtl/>
        </w:rPr>
        <w:t xml:space="preserve">. ويلزم </w:t>
      </w:r>
      <w:r w:rsidRPr="00A84F2B">
        <w:t>MHz 38</w:t>
      </w:r>
      <w:r w:rsidRPr="00A84F2B">
        <w:rPr>
          <w:rFonts w:hint="cs"/>
          <w:rtl/>
        </w:rPr>
        <w:t xml:space="preserve"> من الطيف للحالة التي يكون فيها التوزيع في نطاقات تردد غير </w:t>
      </w:r>
      <w:r w:rsidR="003741AD">
        <w:rPr>
          <w:rFonts w:hint="cs"/>
          <w:rtl/>
        </w:rPr>
        <w:t>متقاس</w:t>
      </w:r>
      <w:r w:rsidR="006E6853">
        <w:rPr>
          <w:rFonts w:hint="cs"/>
          <w:rtl/>
        </w:rPr>
        <w:t>َ</w:t>
      </w:r>
      <w:r w:rsidR="003741AD">
        <w:rPr>
          <w:rFonts w:hint="cs"/>
          <w:rtl/>
        </w:rPr>
        <w:t>مة</w:t>
      </w:r>
      <w:r w:rsidRPr="00A84F2B">
        <w:rPr>
          <w:rFonts w:hint="cs"/>
          <w:rtl/>
        </w:rPr>
        <w:t xml:space="preserve"> مع خدمات فضائية أخرى، بينما يلزم طيف بعرض </w:t>
      </w:r>
      <w:r w:rsidRPr="00A84F2B">
        <w:t>MHz 56</w:t>
      </w:r>
      <w:r w:rsidRPr="00A84F2B">
        <w:rPr>
          <w:rFonts w:hint="cs"/>
          <w:rtl/>
        </w:rPr>
        <w:t xml:space="preserve"> للحالة التي يكون فيها التوزيع في نطاقات </w:t>
      </w:r>
      <w:proofErr w:type="spellStart"/>
      <w:r w:rsidR="003741AD">
        <w:rPr>
          <w:rFonts w:hint="cs"/>
          <w:rtl/>
        </w:rPr>
        <w:t>متقاس</w:t>
      </w:r>
      <w:r w:rsidR="006E6853">
        <w:rPr>
          <w:rFonts w:hint="cs"/>
          <w:rtl/>
        </w:rPr>
        <w:t>َ</w:t>
      </w:r>
      <w:r w:rsidR="003741AD">
        <w:rPr>
          <w:rFonts w:hint="cs"/>
          <w:rtl/>
        </w:rPr>
        <w:t>م</w:t>
      </w:r>
      <w:r w:rsidR="006E6853">
        <w:rPr>
          <w:rFonts w:hint="cs"/>
          <w:rtl/>
        </w:rPr>
        <w:t>‍</w:t>
      </w:r>
      <w:r w:rsidR="003741AD">
        <w:rPr>
          <w:rFonts w:hint="cs"/>
          <w:rtl/>
        </w:rPr>
        <w:t>ة</w:t>
      </w:r>
      <w:proofErr w:type="spellEnd"/>
      <w:r w:rsidR="003741AD" w:rsidRPr="00A84F2B">
        <w:rPr>
          <w:rFonts w:hint="cs"/>
          <w:rtl/>
        </w:rPr>
        <w:t xml:space="preserve"> </w:t>
      </w:r>
      <w:r w:rsidRPr="00A84F2B">
        <w:rPr>
          <w:rFonts w:hint="cs"/>
          <w:rtl/>
        </w:rPr>
        <w:t>مع خدمات فضائية أخرى (مثل نطاق التردد</w:t>
      </w:r>
      <w:r w:rsidR="006332D4">
        <w:rPr>
          <w:rFonts w:hint="eastAsia"/>
          <w:rtl/>
        </w:rPr>
        <w:t> </w:t>
      </w:r>
      <w:r w:rsidRPr="00A84F2B">
        <w:t>MHz 7 235</w:t>
      </w:r>
      <w:r w:rsidRPr="00A84F2B">
        <w:noBreakHyphen/>
        <w:t>7 190</w:t>
      </w:r>
      <w:r w:rsidRPr="00A84F2B">
        <w:rPr>
          <w:rFonts w:hint="cs"/>
          <w:rtl/>
        </w:rPr>
        <w:t>).</w:t>
      </w:r>
    </w:p>
    <w:p w:rsidR="00EB0C4F" w:rsidRDefault="00EB0C4F" w:rsidP="00EB0C4F">
      <w:pPr>
        <w:rPr>
          <w:rtl/>
          <w:lang w:bidi="ar-OM"/>
        </w:rPr>
      </w:pPr>
      <w:r w:rsidRPr="00EB0C4F">
        <w:rPr>
          <w:rFonts w:hint="cs"/>
          <w:rtl/>
        </w:rPr>
        <w:t xml:space="preserve">وبناءً على نتائج دراسات قطاع الاتصالات الراديوية تقترح الأطراف الموقعة </w:t>
      </w:r>
      <w:r w:rsidRPr="00EB0C4F">
        <w:rPr>
          <w:rFonts w:hint="cs"/>
          <w:rtl/>
          <w:lang w:bidi="ar-OM"/>
        </w:rPr>
        <w:t>عدم التعديل على لوائح الراديو.</w:t>
      </w:r>
    </w:p>
    <w:p w:rsidR="00EB0C4F" w:rsidRDefault="00EC105B" w:rsidP="00A84F2B">
      <w:pPr>
        <w:pStyle w:val="Headingb"/>
      </w:pPr>
      <w:r>
        <w:rPr>
          <w:rFonts w:hint="cs"/>
          <w:rtl/>
        </w:rPr>
        <w:lastRenderedPageBreak/>
        <w:t>المقترح</w:t>
      </w:r>
      <w:r w:rsidR="006E6853">
        <w:rPr>
          <w:rFonts w:hint="cs"/>
          <w:rtl/>
        </w:rPr>
        <w:t>ات</w:t>
      </w:r>
    </w:p>
    <w:p w:rsidR="00C7710A" w:rsidRDefault="004A7008">
      <w:pPr>
        <w:pStyle w:val="Proposal"/>
      </w:pPr>
      <w:r>
        <w:rPr>
          <w:u w:val="single"/>
        </w:rPr>
        <w:t>NOC</w:t>
      </w:r>
      <w:r>
        <w:tab/>
        <w:t>ALG/DJI/EGY/LBN/SDN/TUN/49/1</w:t>
      </w:r>
    </w:p>
    <w:p w:rsidR="009F37C9" w:rsidRDefault="004A7008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A7008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C7710A" w:rsidRDefault="00C7710A">
      <w:pPr>
        <w:pStyle w:val="Reasons"/>
        <w:rPr>
          <w:lang w:bidi="ar-EG"/>
        </w:rPr>
      </w:pPr>
    </w:p>
    <w:p w:rsidR="00C7710A" w:rsidRDefault="004A7008">
      <w:pPr>
        <w:pStyle w:val="Proposal"/>
      </w:pPr>
      <w:r>
        <w:t>SUP</w:t>
      </w:r>
      <w:r>
        <w:tab/>
        <w:t>ALG/DJI/EGY/LBN/SDN/TUN/49/2</w:t>
      </w:r>
    </w:p>
    <w:p w:rsidR="00364D92" w:rsidRDefault="004A7008" w:rsidP="00364D92">
      <w:pPr>
        <w:pStyle w:val="ResNo"/>
        <w:rPr>
          <w:bCs/>
          <w:rtl/>
        </w:rPr>
      </w:pPr>
      <w:bookmarkStart w:id="3" w:name="_Toc327956735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rPr>
          <w:rStyle w:val="href"/>
        </w:rPr>
        <w:t>650</w:t>
      </w:r>
      <w:r w:rsidRPr="0055092F">
        <w:t xml:space="preserve"> (WRC</w:t>
      </w:r>
      <w:r>
        <w:noBreakHyphen/>
      </w:r>
      <w:r w:rsidRPr="0055092F">
        <w:t>12)</w:t>
      </w:r>
      <w:bookmarkEnd w:id="3"/>
    </w:p>
    <w:p w:rsidR="00364D92" w:rsidRPr="000F7711" w:rsidRDefault="004A7008" w:rsidP="00A84F2B">
      <w:pPr>
        <w:pStyle w:val="Restitle"/>
        <w:rPr>
          <w:rtl/>
        </w:rPr>
      </w:pPr>
      <w:bookmarkStart w:id="4" w:name="_Toc327956736"/>
      <w:r w:rsidRPr="000F7711">
        <w:rPr>
          <w:rFonts w:hint="cs"/>
          <w:rtl/>
        </w:rPr>
        <w:t xml:space="preserve">توزيع </w:t>
      </w:r>
      <w:r>
        <w:rPr>
          <w:rFonts w:hint="cs"/>
          <w:rtl/>
        </w:rPr>
        <w:t>ل</w:t>
      </w:r>
      <w:r w:rsidRPr="000F7711">
        <w:rPr>
          <w:rFonts w:hint="cs"/>
          <w:rtl/>
        </w:rPr>
        <w:t>خدمة استكشاف الأرض الساتلية (أر</w:t>
      </w:r>
      <w:r>
        <w:rPr>
          <w:rFonts w:hint="cs"/>
          <w:rtl/>
        </w:rPr>
        <w:t>ض</w:t>
      </w:r>
      <w:r w:rsidR="00A84F2B">
        <w:rPr>
          <w:rFonts w:hint="cs"/>
          <w:rtl/>
        </w:rPr>
        <w:t>-</w:t>
      </w:r>
      <w:r w:rsidR="009A0B67">
        <w:rPr>
          <w:rFonts w:hint="cs"/>
          <w:rtl/>
        </w:rPr>
        <w:t>فضاء)</w:t>
      </w:r>
      <w:r>
        <w:rPr>
          <w:rtl/>
        </w:rPr>
        <w:br/>
      </w:r>
      <w:r w:rsidRPr="000F7711">
        <w:rPr>
          <w:rFonts w:hint="cs"/>
          <w:rtl/>
        </w:rPr>
        <w:t>في</w:t>
      </w:r>
      <w:r w:rsidR="00A84F2B">
        <w:rPr>
          <w:rFonts w:hint="eastAsia"/>
          <w:rtl/>
        </w:rPr>
        <w:t> </w:t>
      </w:r>
      <w:r w:rsidRPr="000F7711">
        <w:rPr>
          <w:rFonts w:hint="cs"/>
          <w:rtl/>
        </w:rPr>
        <w:t xml:space="preserve">المدى </w:t>
      </w:r>
      <w:r>
        <w:t>G</w:t>
      </w:r>
      <w:r w:rsidRPr="000F7711">
        <w:t>Hz 8</w:t>
      </w:r>
      <w:r>
        <w:noBreakHyphen/>
      </w:r>
      <w:r w:rsidRPr="000F7711">
        <w:t>7</w:t>
      </w:r>
      <w:bookmarkEnd w:id="4"/>
    </w:p>
    <w:p w:rsidR="009A0B67" w:rsidRDefault="004A7008" w:rsidP="001E18CD">
      <w:pPr>
        <w:pStyle w:val="Reasons"/>
        <w:rPr>
          <w:rtl/>
        </w:rPr>
      </w:pPr>
      <w:r>
        <w:rPr>
          <w:rtl/>
        </w:rPr>
        <w:t>الأسباب:</w:t>
      </w:r>
      <w:r w:rsidR="009A0B67">
        <w:rPr>
          <w:rtl/>
        </w:rPr>
        <w:tab/>
      </w:r>
    </w:p>
    <w:p w:rsidR="00C7710A" w:rsidRPr="009A0B67" w:rsidRDefault="009A0B67" w:rsidP="009A0B67">
      <w:pPr>
        <w:pStyle w:val="Reasons"/>
        <w:ind w:left="1134" w:hanging="1134"/>
        <w:rPr>
          <w:b w:val="0"/>
          <w:bCs w:val="0"/>
          <w:rtl/>
          <w:lang w:bidi="ar-EG"/>
        </w:rPr>
      </w:pPr>
      <w:r w:rsidRPr="009A0B67">
        <w:rPr>
          <w:rFonts w:hint="cs"/>
          <w:b w:val="0"/>
          <w:bCs w:val="0"/>
          <w:rtl/>
        </w:rPr>
        <w:t>-</w:t>
      </w:r>
      <w:r w:rsidR="004A7008" w:rsidRPr="009A0B67">
        <w:rPr>
          <w:b w:val="0"/>
          <w:bCs w:val="0"/>
        </w:rPr>
        <w:tab/>
      </w:r>
      <w:r w:rsidR="00EB0C4F" w:rsidRPr="009A0B67">
        <w:rPr>
          <w:rFonts w:hint="cs"/>
          <w:b w:val="0"/>
          <w:bCs w:val="0"/>
          <w:rtl/>
          <w:lang w:bidi="ar-OM"/>
        </w:rPr>
        <w:t xml:space="preserve">الاستخدام الكثيف لبعض الخدمات الراديوية في النطاقات الترددية </w:t>
      </w:r>
      <w:r w:rsidR="001E18CD" w:rsidRPr="009A0B67">
        <w:rPr>
          <w:b w:val="0"/>
          <w:bCs w:val="0"/>
          <w:lang w:bidi="ar-OM"/>
        </w:rPr>
        <w:t>GHz 8</w:t>
      </w:r>
      <w:r w:rsidR="001E18CD" w:rsidRPr="009A0B67">
        <w:rPr>
          <w:b w:val="0"/>
          <w:bCs w:val="0"/>
          <w:lang w:bidi="ar-OM"/>
        </w:rPr>
        <w:noBreakHyphen/>
        <w:t>7</w:t>
      </w:r>
      <w:r w:rsidR="00EB0C4F" w:rsidRPr="009A0B67">
        <w:rPr>
          <w:rFonts w:hint="cs"/>
          <w:b w:val="0"/>
          <w:bCs w:val="0"/>
          <w:rtl/>
          <w:lang w:bidi="ar-EG"/>
        </w:rPr>
        <w:t>، والتي لا</w:t>
      </w:r>
      <w:r w:rsidR="00DA019A">
        <w:rPr>
          <w:rFonts w:hint="eastAsia"/>
          <w:b w:val="0"/>
          <w:bCs w:val="0"/>
          <w:rtl/>
          <w:lang w:bidi="ar-EG"/>
        </w:rPr>
        <w:t> </w:t>
      </w:r>
      <w:r w:rsidR="00EB0C4F" w:rsidRPr="009A0B67">
        <w:rPr>
          <w:rFonts w:hint="cs"/>
          <w:b w:val="0"/>
          <w:bCs w:val="0"/>
          <w:rtl/>
          <w:lang w:bidi="ar-EG"/>
        </w:rPr>
        <w:t>بد من حمايتها وعدم التأثير عليها لحساسية استخدامها بالدول الموقعة على هذه الوثيقة.</w:t>
      </w:r>
    </w:p>
    <w:p w:rsidR="00EB0C4F" w:rsidRPr="00A84F2B" w:rsidRDefault="009A0B67" w:rsidP="009A0B67">
      <w:pPr>
        <w:pStyle w:val="Reasons"/>
        <w:ind w:left="1134" w:hanging="1134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-</w:t>
      </w:r>
      <w:r>
        <w:rPr>
          <w:b w:val="0"/>
          <w:bCs w:val="0"/>
          <w:rtl/>
          <w:lang w:bidi="ar-EG"/>
        </w:rPr>
        <w:tab/>
      </w:r>
      <w:r w:rsidR="00EB0C4F" w:rsidRPr="00A84F2B">
        <w:rPr>
          <w:rFonts w:hint="cs"/>
          <w:b w:val="0"/>
          <w:bCs w:val="0"/>
          <w:rtl/>
          <w:lang w:bidi="ar-EG"/>
        </w:rPr>
        <w:t>ترى الإدارات الموقعة على هذه الوثيقة أن لها حدود</w:t>
      </w:r>
      <w:r w:rsidR="006E6853">
        <w:rPr>
          <w:rFonts w:hint="cs"/>
          <w:b w:val="0"/>
          <w:bCs w:val="0"/>
          <w:rtl/>
          <w:lang w:bidi="ar-EG"/>
        </w:rPr>
        <w:t>اً</w:t>
      </w:r>
      <w:r w:rsidR="00EB0C4F" w:rsidRPr="00A84F2B">
        <w:rPr>
          <w:rFonts w:hint="cs"/>
          <w:b w:val="0"/>
          <w:bCs w:val="0"/>
          <w:rtl/>
          <w:lang w:bidi="ar-EG"/>
        </w:rPr>
        <w:t xml:space="preserve"> مشتركة ملاصقة مع دول الجوار ونظراً لكبر مسافات التنسيق المطلوبة لحماية الخدمة الثابتة، فإن </w:t>
      </w:r>
      <w:r w:rsidR="003741AD">
        <w:rPr>
          <w:rFonts w:hint="cs"/>
          <w:b w:val="0"/>
          <w:bCs w:val="0"/>
          <w:rtl/>
          <w:lang w:bidi="ar-EG"/>
        </w:rPr>
        <w:t xml:space="preserve">ذلك </w:t>
      </w:r>
      <w:r w:rsidR="00EB0C4F" w:rsidRPr="00A84F2B">
        <w:rPr>
          <w:rFonts w:hint="cs"/>
          <w:b w:val="0"/>
          <w:bCs w:val="0"/>
          <w:rtl/>
          <w:lang w:bidi="ar-EG"/>
        </w:rPr>
        <w:t>سيسبب حرمان الكثير من محطات الخدمة الثابتة من العمل وتعرضها لتداخلات في حالة عملها.</w:t>
      </w:r>
    </w:p>
    <w:p w:rsidR="00EB0C4F" w:rsidRDefault="009A0B67" w:rsidP="009A0B67">
      <w:pPr>
        <w:pStyle w:val="Reasons"/>
        <w:ind w:left="1134" w:hanging="1134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-</w:t>
      </w:r>
      <w:r>
        <w:rPr>
          <w:b w:val="0"/>
          <w:bCs w:val="0"/>
          <w:rtl/>
          <w:lang w:bidi="ar-EG"/>
        </w:rPr>
        <w:tab/>
      </w:r>
      <w:r w:rsidR="00EB0C4F" w:rsidRPr="00A84F2B">
        <w:rPr>
          <w:rFonts w:hint="cs"/>
          <w:b w:val="0"/>
          <w:bCs w:val="0"/>
          <w:rtl/>
          <w:lang w:bidi="ar-EG"/>
        </w:rPr>
        <w:t>ترى الإدارات الموقعة على هذه الوثيقة أن الدراسات الخاصة بتأثير خدمة استكشاف الأرض الساتلية على الأنظمة العاملة في</w:t>
      </w:r>
      <w:r w:rsidR="001E18CD">
        <w:rPr>
          <w:rFonts w:hint="eastAsia"/>
          <w:b w:val="0"/>
          <w:bCs w:val="0"/>
          <w:rtl/>
          <w:lang w:bidi="ar-EG"/>
        </w:rPr>
        <w:t> </w:t>
      </w:r>
      <w:r w:rsidR="00DA019A">
        <w:rPr>
          <w:rFonts w:hint="cs"/>
          <w:b w:val="0"/>
          <w:bCs w:val="0"/>
          <w:rtl/>
          <w:lang w:bidi="ar-EG"/>
        </w:rPr>
        <w:t>الخدمة المتنقلة لم تكن كافية.</w:t>
      </w:r>
      <w:r w:rsidR="00EB0C4F" w:rsidRPr="00A84F2B">
        <w:rPr>
          <w:rFonts w:hint="cs"/>
          <w:b w:val="0"/>
          <w:bCs w:val="0"/>
          <w:rtl/>
          <w:lang w:bidi="ar-EG"/>
        </w:rPr>
        <w:t xml:space="preserve"> كما أنها يمكن أن تؤثر على الاستخدامات المستقبلية للخدمة المتنقلة في</w:t>
      </w:r>
      <w:r>
        <w:rPr>
          <w:rFonts w:hint="eastAsia"/>
          <w:b w:val="0"/>
          <w:bCs w:val="0"/>
          <w:rtl/>
          <w:lang w:bidi="ar-EG"/>
        </w:rPr>
        <w:t> </w:t>
      </w:r>
      <w:r w:rsidR="00EB0C4F" w:rsidRPr="00A84F2B">
        <w:rPr>
          <w:rFonts w:hint="cs"/>
          <w:b w:val="0"/>
          <w:bCs w:val="0"/>
          <w:rtl/>
          <w:lang w:bidi="ar-EG"/>
        </w:rPr>
        <w:t xml:space="preserve">هذا النطاق الترددي وخاصة إذا ما تم </w:t>
      </w:r>
      <w:r w:rsidR="003741AD">
        <w:rPr>
          <w:rFonts w:hint="cs"/>
          <w:b w:val="0"/>
          <w:bCs w:val="0"/>
          <w:rtl/>
          <w:lang w:bidi="ar-EG"/>
        </w:rPr>
        <w:t>تحديده</w:t>
      </w:r>
      <w:r w:rsidR="00EB0C4F" w:rsidRPr="00A84F2B">
        <w:rPr>
          <w:rFonts w:hint="cs"/>
          <w:b w:val="0"/>
          <w:bCs w:val="0"/>
          <w:rtl/>
          <w:lang w:bidi="ar-EG"/>
        </w:rPr>
        <w:t xml:space="preserve"> للاتصالات المتنقلة الدولية </w:t>
      </w:r>
      <w:r w:rsidR="006E6853">
        <w:rPr>
          <w:b w:val="0"/>
          <w:bCs w:val="0"/>
          <w:lang w:bidi="ar-EG"/>
        </w:rPr>
        <w:t>(</w:t>
      </w:r>
      <w:r w:rsidR="00EB0C4F" w:rsidRPr="00A84F2B">
        <w:rPr>
          <w:b w:val="0"/>
          <w:bCs w:val="0"/>
          <w:lang w:bidi="ar-EG"/>
        </w:rPr>
        <w:t>IMT</w:t>
      </w:r>
      <w:r w:rsidR="006E6853">
        <w:rPr>
          <w:b w:val="0"/>
          <w:bCs w:val="0"/>
          <w:lang w:bidi="ar-EG"/>
        </w:rPr>
        <w:t>)</w:t>
      </w:r>
      <w:r w:rsidR="00EB0C4F" w:rsidRPr="00A84F2B">
        <w:rPr>
          <w:rFonts w:hint="cs"/>
          <w:b w:val="0"/>
          <w:bCs w:val="0"/>
          <w:rtl/>
          <w:lang w:bidi="ar-EG"/>
        </w:rPr>
        <w:t>.</w:t>
      </w:r>
    </w:p>
    <w:p w:rsidR="00EB0C4F" w:rsidRPr="00EB0C4F" w:rsidRDefault="00EB0C4F" w:rsidP="00EB0C4F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EB0C4F" w:rsidRPr="00EB0C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08" w:rsidRDefault="004A7008" w:rsidP="002919E1">
      <w:r>
        <w:separator/>
      </w:r>
    </w:p>
    <w:p w:rsidR="004A7008" w:rsidRDefault="004A7008" w:rsidP="002919E1"/>
    <w:p w:rsidR="004A7008" w:rsidRDefault="004A7008" w:rsidP="002919E1"/>
    <w:p w:rsidR="004A7008" w:rsidRDefault="004A7008"/>
  </w:endnote>
  <w:endnote w:type="continuationSeparator" w:id="0">
    <w:p w:rsidR="004A7008" w:rsidRDefault="004A7008" w:rsidP="002919E1">
      <w:r>
        <w:continuationSeparator/>
      </w:r>
    </w:p>
    <w:p w:rsidR="004A7008" w:rsidRDefault="004A7008" w:rsidP="002919E1"/>
    <w:p w:rsidR="004A7008" w:rsidRDefault="004A7008" w:rsidP="002919E1"/>
    <w:p w:rsidR="004A7008" w:rsidRDefault="004A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3" w:rsidRDefault="004E2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E248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72B67">
      <w:rPr>
        <w:noProof/>
        <w:lang w:val="es-ES"/>
      </w:rPr>
      <w:t>P:\ARA\ITU-R\CONF-R\CMR15\000\049A.docx</w:t>
    </w:r>
    <w:r w:rsidRPr="00CB4300">
      <w:fldChar w:fldCharType="end"/>
    </w:r>
    <w:r w:rsidRPr="00CB4300">
      <w:rPr>
        <w:lang w:val="es-ES"/>
      </w:rPr>
      <w:t xml:space="preserve">  (</w:t>
    </w:r>
    <w:r w:rsidR="004E2483">
      <w:rPr>
        <w:rFonts w:hint="cs"/>
        <w:rtl/>
        <w:lang w:val="es-ES"/>
      </w:rPr>
      <w:t>387823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B47C8">
      <w:rPr>
        <w:noProof/>
      </w:rPr>
      <w:t>28.10.15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72B67">
      <w:rPr>
        <w:noProof/>
      </w:rPr>
      <w:t>28.10.15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4E2483" w:rsidP="00CB4300">
    <w:pPr>
      <w:pStyle w:val="Footer"/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72B67">
      <w:rPr>
        <w:noProof/>
        <w:lang w:val="es-ES"/>
      </w:rPr>
      <w:t>P:\ARA\ITU-R\CONF-R\CMR15\000\049A.docx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387823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B47C8">
      <w:rPr>
        <w:noProof/>
      </w:rPr>
      <w:t>28.10.15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72B67">
      <w:rPr>
        <w:noProof/>
      </w:rPr>
      <w:t>28.10.15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08" w:rsidRDefault="004A7008" w:rsidP="002919E1">
      <w:r>
        <w:t>___________________</w:t>
      </w:r>
    </w:p>
  </w:footnote>
  <w:footnote w:type="continuationSeparator" w:id="0">
    <w:p w:rsidR="004A7008" w:rsidRDefault="004A7008" w:rsidP="002919E1">
      <w:r>
        <w:continuationSeparator/>
      </w:r>
    </w:p>
    <w:p w:rsidR="004A7008" w:rsidRDefault="004A7008" w:rsidP="002919E1"/>
    <w:p w:rsidR="004A7008" w:rsidRDefault="004A7008" w:rsidP="002919E1"/>
    <w:p w:rsidR="004A7008" w:rsidRDefault="004A70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B47C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49-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83" w:rsidRDefault="004E2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B47C8"/>
    <w:rsid w:val="001E18CD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2305"/>
    <w:rsid w:val="0033737F"/>
    <w:rsid w:val="00353652"/>
    <w:rsid w:val="003569E1"/>
    <w:rsid w:val="003741AD"/>
    <w:rsid w:val="003815E2"/>
    <w:rsid w:val="00381FAD"/>
    <w:rsid w:val="00382A66"/>
    <w:rsid w:val="003923B1"/>
    <w:rsid w:val="003928BA"/>
    <w:rsid w:val="003939A8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008"/>
    <w:rsid w:val="004A7AA0"/>
    <w:rsid w:val="004C11BC"/>
    <w:rsid w:val="004D4AE6"/>
    <w:rsid w:val="004E2483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36F8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526D"/>
    <w:rsid w:val="006315B5"/>
    <w:rsid w:val="006332D4"/>
    <w:rsid w:val="00651343"/>
    <w:rsid w:val="0065562F"/>
    <w:rsid w:val="00680A66"/>
    <w:rsid w:val="00681391"/>
    <w:rsid w:val="006819D5"/>
    <w:rsid w:val="006A12AC"/>
    <w:rsid w:val="006A2162"/>
    <w:rsid w:val="006B0D94"/>
    <w:rsid w:val="006B4B90"/>
    <w:rsid w:val="006B658C"/>
    <w:rsid w:val="006D2674"/>
    <w:rsid w:val="006E38D0"/>
    <w:rsid w:val="006E465B"/>
    <w:rsid w:val="006E6853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0B67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4F2B"/>
    <w:rsid w:val="00A870AD"/>
    <w:rsid w:val="00A90843"/>
    <w:rsid w:val="00A9645C"/>
    <w:rsid w:val="00AA739D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2FF5"/>
    <w:rsid w:val="00C7710A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019A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2B67"/>
    <w:rsid w:val="00E77D29"/>
    <w:rsid w:val="00E833BC"/>
    <w:rsid w:val="00E8580E"/>
    <w:rsid w:val="00EA1B76"/>
    <w:rsid w:val="00EA77D7"/>
    <w:rsid w:val="00EB0C4F"/>
    <w:rsid w:val="00EC09B9"/>
    <w:rsid w:val="00EC105B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FB1A408F-5543-42B9-9160-27AA191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R15-WRC15-C-0049!!MSW-A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B51A3-2333-4E13-921C-E6123B0709D8}">
  <ds:schemaRefs>
    <ds:schemaRef ds:uri="996b2e75-67fd-4955-a3b0-5ab9934cb50b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5C65A7-F1C7-451D-96B7-D9A9E247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366</Words>
  <Characters>1978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R15-WRC15-C-0049!!MSW-A</vt:lpstr>
    </vt:vector>
  </TitlesOfParts>
  <Manager>General Secretariat - Pool</Manager>
  <Company>International Telecommunication Union (ITU)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R15-WRC15-C-0049!!MSW-A</dc:title>
  <dc:creator>Documents Proposals Manager (DPM)</dc:creator>
  <cp:keywords>DPM_v5.2015.10.15_prod</cp:keywords>
  <cp:lastModifiedBy>Awad, Samy</cp:lastModifiedBy>
  <cp:revision>14</cp:revision>
  <cp:lastPrinted>2015-10-28T13:57:00Z</cp:lastPrinted>
  <dcterms:created xsi:type="dcterms:W3CDTF">2015-10-26T08:16:00Z</dcterms:created>
  <dcterms:modified xsi:type="dcterms:W3CDTF">2015-10-28T14:43:00Z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