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F6FE5" w:rsidTr="00C71449">
        <w:trPr>
          <w:cantSplit/>
        </w:trPr>
        <w:tc>
          <w:tcPr>
            <w:tcW w:w="6911" w:type="dxa"/>
          </w:tcPr>
          <w:p w:rsidR="008F6FE5" w:rsidRPr="00DF23FC" w:rsidRDefault="008F6FE5" w:rsidP="00C71449">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8F6FE5" w:rsidRDefault="008F6FE5" w:rsidP="00C71449">
            <w:pPr>
              <w:spacing w:before="0" w:line="240" w:lineRule="atLeast"/>
              <w:jc w:val="right"/>
            </w:pPr>
            <w:bookmarkStart w:id="0" w:name="ditulogo"/>
            <w:bookmarkEnd w:id="0"/>
            <w:r>
              <w:rPr>
                <w:noProof/>
                <w:lang w:eastAsia="zh-CN"/>
              </w:rPr>
              <w:drawing>
                <wp:inline distT="0" distB="0" distL="0" distR="0" wp14:anchorId="6B8C8930" wp14:editId="0977F5A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F6FE5" w:rsidRPr="00974431" w:rsidTr="00C71449">
        <w:trPr>
          <w:cantSplit/>
        </w:trPr>
        <w:tc>
          <w:tcPr>
            <w:tcW w:w="6911" w:type="dxa"/>
            <w:tcBorders>
              <w:bottom w:val="single" w:sz="12" w:space="0" w:color="auto"/>
            </w:tcBorders>
          </w:tcPr>
          <w:p w:rsidR="008F6FE5" w:rsidRPr="00974431" w:rsidRDefault="008F6FE5" w:rsidP="00C71449">
            <w:pPr>
              <w:spacing w:before="0" w:after="48" w:line="240" w:lineRule="atLeast"/>
              <w:rPr>
                <w:rFonts w:ascii="Verdana" w:hAnsi="Verdana"/>
                <w:b/>
                <w:bCs/>
                <w:position w:val="6"/>
                <w:sz w:val="20"/>
              </w:rPr>
            </w:pPr>
            <w:r w:rsidRPr="00974431">
              <w:rPr>
                <w:rFonts w:ascii="Verdana" w:hAnsi="Verdana"/>
                <w:b/>
                <w:bCs/>
                <w:position w:val="6"/>
                <w:sz w:val="20"/>
              </w:rPr>
              <w:t>INTERNATIONAL TELECOMMUNICATION UNION</w:t>
            </w:r>
          </w:p>
        </w:tc>
        <w:tc>
          <w:tcPr>
            <w:tcW w:w="3120" w:type="dxa"/>
            <w:tcBorders>
              <w:bottom w:val="single" w:sz="12" w:space="0" w:color="auto"/>
            </w:tcBorders>
          </w:tcPr>
          <w:p w:rsidR="008F6FE5" w:rsidRPr="00974431" w:rsidRDefault="008F6FE5" w:rsidP="00C71449">
            <w:pPr>
              <w:spacing w:before="0" w:after="48" w:line="240" w:lineRule="atLeast"/>
              <w:rPr>
                <w:rFonts w:ascii="Verdana" w:hAnsi="Verdana"/>
                <w:b/>
                <w:bCs/>
                <w:position w:val="6"/>
                <w:sz w:val="20"/>
              </w:rPr>
            </w:pPr>
          </w:p>
        </w:tc>
      </w:tr>
      <w:tr w:rsidR="008F6FE5" w:rsidRPr="00C324A8" w:rsidTr="00C71449">
        <w:trPr>
          <w:cantSplit/>
        </w:trPr>
        <w:tc>
          <w:tcPr>
            <w:tcW w:w="6911" w:type="dxa"/>
            <w:tcBorders>
              <w:top w:val="single" w:sz="12" w:space="0" w:color="auto"/>
            </w:tcBorders>
          </w:tcPr>
          <w:p w:rsidR="008F6FE5" w:rsidRPr="00C324A8" w:rsidRDefault="008F6FE5" w:rsidP="00C71449">
            <w:pPr>
              <w:spacing w:before="0" w:after="48" w:line="240" w:lineRule="atLeast"/>
              <w:rPr>
                <w:rFonts w:ascii="Verdana" w:hAnsi="Verdana"/>
                <w:b/>
                <w:smallCaps/>
                <w:sz w:val="20"/>
              </w:rPr>
            </w:pPr>
          </w:p>
        </w:tc>
        <w:tc>
          <w:tcPr>
            <w:tcW w:w="3120" w:type="dxa"/>
            <w:tcBorders>
              <w:top w:val="single" w:sz="12" w:space="0" w:color="auto"/>
            </w:tcBorders>
          </w:tcPr>
          <w:p w:rsidR="008F6FE5" w:rsidRPr="00C324A8" w:rsidRDefault="008F6FE5" w:rsidP="00C71449">
            <w:pPr>
              <w:spacing w:before="0" w:line="240" w:lineRule="atLeast"/>
              <w:rPr>
                <w:rFonts w:ascii="Verdana" w:hAnsi="Verdana"/>
                <w:sz w:val="20"/>
              </w:rPr>
            </w:pPr>
          </w:p>
        </w:tc>
      </w:tr>
      <w:tr w:rsidR="008F6FE5" w:rsidRPr="00184F28" w:rsidTr="00C71449">
        <w:trPr>
          <w:cantSplit/>
          <w:trHeight w:val="23"/>
        </w:trPr>
        <w:tc>
          <w:tcPr>
            <w:tcW w:w="6911" w:type="dxa"/>
            <w:vMerge w:val="restart"/>
          </w:tcPr>
          <w:p w:rsidR="008F6FE5" w:rsidRPr="00184F28" w:rsidRDefault="008F6FE5" w:rsidP="00C71449">
            <w:pPr>
              <w:tabs>
                <w:tab w:val="left" w:pos="851"/>
              </w:tabs>
              <w:spacing w:before="0" w:line="240" w:lineRule="atLeast"/>
              <w:rPr>
                <w:rFonts w:ascii="Verdana" w:hAnsi="Verdana"/>
                <w:sz w:val="20"/>
              </w:rPr>
            </w:pPr>
            <w:r>
              <w:rPr>
                <w:rFonts w:ascii="Verdana" w:hAnsi="Verdana"/>
                <w:b/>
                <w:sz w:val="20"/>
              </w:rPr>
              <w:t>PLENARY MEETING</w:t>
            </w:r>
          </w:p>
        </w:tc>
        <w:tc>
          <w:tcPr>
            <w:tcW w:w="3120" w:type="dxa"/>
          </w:tcPr>
          <w:p w:rsidR="008F6FE5" w:rsidRPr="00184F28" w:rsidRDefault="008F6FE5" w:rsidP="00C71449">
            <w:pPr>
              <w:tabs>
                <w:tab w:val="left" w:pos="851"/>
              </w:tabs>
              <w:spacing w:before="0" w:line="240" w:lineRule="atLeast"/>
              <w:rPr>
                <w:rFonts w:ascii="Verdana" w:hAnsi="Verdana"/>
                <w:sz w:val="20"/>
              </w:rPr>
            </w:pPr>
            <w:r>
              <w:rPr>
                <w:rFonts w:ascii="Verdana" w:hAnsi="Verdana"/>
                <w:b/>
                <w:sz w:val="20"/>
              </w:rPr>
              <w:t>Document 54-E</w:t>
            </w:r>
          </w:p>
        </w:tc>
      </w:tr>
      <w:tr w:rsidR="008F6FE5" w:rsidRPr="00184F28" w:rsidTr="00C71449">
        <w:trPr>
          <w:cantSplit/>
          <w:trHeight w:val="23"/>
        </w:trPr>
        <w:tc>
          <w:tcPr>
            <w:tcW w:w="6911" w:type="dxa"/>
            <w:vMerge/>
          </w:tcPr>
          <w:p w:rsidR="008F6FE5" w:rsidRPr="00C324A8" w:rsidRDefault="008F6FE5" w:rsidP="00C71449">
            <w:pPr>
              <w:tabs>
                <w:tab w:val="left" w:pos="851"/>
              </w:tabs>
              <w:spacing w:line="240" w:lineRule="atLeast"/>
              <w:rPr>
                <w:rFonts w:ascii="Verdana" w:hAnsi="Verdana"/>
                <w:b/>
                <w:sz w:val="20"/>
              </w:rPr>
            </w:pPr>
          </w:p>
        </w:tc>
        <w:tc>
          <w:tcPr>
            <w:tcW w:w="3120" w:type="dxa"/>
          </w:tcPr>
          <w:p w:rsidR="008F6FE5" w:rsidRPr="00184F28" w:rsidRDefault="008F6FE5" w:rsidP="00C71449">
            <w:pPr>
              <w:tabs>
                <w:tab w:val="left" w:pos="993"/>
              </w:tabs>
              <w:spacing w:before="0"/>
              <w:rPr>
                <w:rFonts w:ascii="Verdana" w:hAnsi="Verdana"/>
                <w:sz w:val="20"/>
              </w:rPr>
            </w:pPr>
            <w:r>
              <w:rPr>
                <w:rFonts w:ascii="Verdana" w:hAnsi="Verdana"/>
                <w:b/>
                <w:sz w:val="20"/>
              </w:rPr>
              <w:t>14 October 2015</w:t>
            </w:r>
          </w:p>
        </w:tc>
      </w:tr>
      <w:tr w:rsidR="008F6FE5" w:rsidRPr="00184F28" w:rsidTr="00C71449">
        <w:trPr>
          <w:cantSplit/>
          <w:trHeight w:val="23"/>
        </w:trPr>
        <w:tc>
          <w:tcPr>
            <w:tcW w:w="6911" w:type="dxa"/>
            <w:vMerge/>
          </w:tcPr>
          <w:p w:rsidR="008F6FE5" w:rsidRPr="00C324A8" w:rsidRDefault="008F6FE5" w:rsidP="00C71449">
            <w:pPr>
              <w:tabs>
                <w:tab w:val="left" w:pos="851"/>
              </w:tabs>
              <w:spacing w:line="240" w:lineRule="atLeast"/>
              <w:rPr>
                <w:rFonts w:ascii="Verdana" w:hAnsi="Verdana"/>
                <w:b/>
                <w:sz w:val="20"/>
              </w:rPr>
            </w:pPr>
          </w:p>
        </w:tc>
        <w:tc>
          <w:tcPr>
            <w:tcW w:w="3120" w:type="dxa"/>
          </w:tcPr>
          <w:p w:rsidR="008F6FE5" w:rsidRPr="00184F28" w:rsidRDefault="008F6FE5" w:rsidP="00C71449">
            <w:pPr>
              <w:tabs>
                <w:tab w:val="left" w:pos="993"/>
              </w:tabs>
              <w:spacing w:before="0" w:after="120"/>
              <w:rPr>
                <w:rFonts w:ascii="Verdana" w:hAnsi="Verdana"/>
                <w:sz w:val="20"/>
              </w:rPr>
            </w:pPr>
            <w:r>
              <w:rPr>
                <w:rFonts w:ascii="Verdana" w:hAnsi="Verdana"/>
                <w:b/>
                <w:sz w:val="20"/>
              </w:rPr>
              <w:t>Original: English</w:t>
            </w:r>
          </w:p>
        </w:tc>
      </w:tr>
      <w:tr w:rsidR="008F6FE5" w:rsidTr="00C71449">
        <w:trPr>
          <w:cantSplit/>
        </w:trPr>
        <w:tc>
          <w:tcPr>
            <w:tcW w:w="10031" w:type="dxa"/>
            <w:gridSpan w:val="2"/>
          </w:tcPr>
          <w:p w:rsidR="008F6FE5" w:rsidRDefault="008F6FE5" w:rsidP="00C71449">
            <w:pPr>
              <w:pStyle w:val="Source"/>
            </w:pPr>
            <w:r>
              <w:t>Canada, Ecuador</w:t>
            </w:r>
          </w:p>
        </w:tc>
      </w:tr>
      <w:tr w:rsidR="008F6FE5" w:rsidTr="00C71449">
        <w:trPr>
          <w:cantSplit/>
        </w:trPr>
        <w:tc>
          <w:tcPr>
            <w:tcW w:w="10031" w:type="dxa"/>
            <w:gridSpan w:val="2"/>
          </w:tcPr>
          <w:p w:rsidR="008F6FE5" w:rsidRDefault="008F6FE5" w:rsidP="00C71449">
            <w:pPr>
              <w:pStyle w:val="Title1"/>
            </w:pPr>
            <w:r>
              <w:t>Proposals for the work of the conference</w:t>
            </w:r>
          </w:p>
        </w:tc>
      </w:tr>
      <w:tr w:rsidR="008F6FE5" w:rsidTr="00C71449">
        <w:trPr>
          <w:cantSplit/>
        </w:trPr>
        <w:tc>
          <w:tcPr>
            <w:tcW w:w="10031" w:type="dxa"/>
            <w:gridSpan w:val="2"/>
          </w:tcPr>
          <w:p w:rsidR="008F6FE5" w:rsidRDefault="008F6FE5" w:rsidP="00C71449">
            <w:pPr>
              <w:pStyle w:val="Title2"/>
            </w:pPr>
          </w:p>
        </w:tc>
      </w:tr>
      <w:tr w:rsidR="008F6FE5" w:rsidTr="00C71449">
        <w:trPr>
          <w:cantSplit/>
        </w:trPr>
        <w:tc>
          <w:tcPr>
            <w:tcW w:w="10031" w:type="dxa"/>
            <w:gridSpan w:val="2"/>
          </w:tcPr>
          <w:p w:rsidR="008F6FE5" w:rsidRDefault="008F6FE5" w:rsidP="0039662A">
            <w:pPr>
              <w:pStyle w:val="Agendaitem"/>
            </w:pPr>
            <w:bookmarkStart w:id="1" w:name="_GoBack"/>
            <w:r>
              <w:t>Agenda item 7(K)</w:t>
            </w:r>
            <w:bookmarkEnd w:id="1"/>
          </w:p>
        </w:tc>
      </w:tr>
    </w:tbl>
    <w:p w:rsidR="00B02325" w:rsidRPr="000002F2" w:rsidRDefault="00640EC9" w:rsidP="00414AB3">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640EC9" w:rsidP="00414AB3">
      <w:r>
        <w:t>7(K)</w:t>
      </w:r>
      <w:r>
        <w:tab/>
      </w:r>
      <w:r w:rsidRPr="00BC4D69">
        <w:t xml:space="preserve">Issue K – Addition of a regulatory provision in RR Article </w:t>
      </w:r>
      <w:r w:rsidRPr="00931C9E">
        <w:rPr>
          <w:b/>
          <w:bCs/>
        </w:rPr>
        <w:t>11</w:t>
      </w:r>
      <w:r w:rsidRPr="00BC4D69">
        <w:t xml:space="preserve"> for the case of launch failure</w:t>
      </w:r>
    </w:p>
    <w:p w:rsidR="00640EC9" w:rsidRPr="00666FEE" w:rsidRDefault="008B553A" w:rsidP="00414AB3">
      <w:pPr>
        <w:pStyle w:val="Headingb"/>
        <w:rPr>
          <w:lang w:val="en-US"/>
        </w:rPr>
      </w:pPr>
      <w:r w:rsidRPr="00666FEE">
        <w:rPr>
          <w:lang w:val="en-US"/>
        </w:rPr>
        <w:t>Background</w:t>
      </w:r>
    </w:p>
    <w:p w:rsidR="00640EC9" w:rsidRDefault="00640EC9" w:rsidP="00414AB3">
      <w:pPr>
        <w:rPr>
          <w:lang w:val="en-CA"/>
        </w:rPr>
      </w:pPr>
      <w:r w:rsidRPr="00144B87">
        <w:rPr>
          <w:lang w:val="en-CA"/>
        </w:rPr>
        <w:t>Under issue K of WRC-15 agenda item 7, the Conference will consider a possible extension of the seven-year regulatory period by no more than three years in case of a launch-failure occurring at least four years after the receipt of the Advance Publication Information on a satellite network and resulting in the</w:t>
      </w:r>
      <w:r w:rsidR="008B553A">
        <w:rPr>
          <w:lang w:val="en-CA"/>
        </w:rPr>
        <w:t xml:space="preserve"> destruction of the satellite.</w:t>
      </w:r>
    </w:p>
    <w:p w:rsidR="008B553A" w:rsidRDefault="008B553A" w:rsidP="00414AB3">
      <w:pPr>
        <w:rPr>
          <w:lang w:val="en-CA"/>
        </w:rPr>
      </w:pPr>
      <w:r>
        <w:rPr>
          <w:lang w:val="en-CA"/>
        </w:rPr>
        <w:br w:type="page"/>
      </w:r>
    </w:p>
    <w:p w:rsidR="00640EC9" w:rsidRDefault="00640EC9" w:rsidP="00414AB3">
      <w:pPr>
        <w:rPr>
          <w:lang w:val="en-CA"/>
        </w:rPr>
      </w:pPr>
      <w:r w:rsidRPr="00144B87">
        <w:rPr>
          <w:lang w:val="en-CA"/>
        </w:rPr>
        <w:lastRenderedPageBreak/>
        <w:t>In the past, the Radio Regulations contained various provisions that allowed for extension to occur. The following table shows what the regulatory period and extension were in the past.</w:t>
      </w:r>
    </w:p>
    <w:p w:rsidR="005317FE" w:rsidRPr="00144B87" w:rsidRDefault="005317FE" w:rsidP="00414AB3">
      <w:pPr>
        <w:rPr>
          <w:lang w:val="en-CA"/>
        </w:rPr>
      </w:pPr>
    </w:p>
    <w:tbl>
      <w:tblPr>
        <w:tblStyle w:val="TableGrid"/>
        <w:tblW w:w="0" w:type="auto"/>
        <w:tblLook w:val="04A0" w:firstRow="1" w:lastRow="0" w:firstColumn="1" w:lastColumn="0" w:noHBand="0" w:noVBand="1"/>
      </w:tblPr>
      <w:tblGrid>
        <w:gridCol w:w="1736"/>
        <w:gridCol w:w="2842"/>
        <w:gridCol w:w="2816"/>
        <w:gridCol w:w="2235"/>
      </w:tblGrid>
      <w:tr w:rsidR="00640EC9" w:rsidRPr="00144B87" w:rsidTr="008B553A">
        <w:tc>
          <w:tcPr>
            <w:tcW w:w="1736" w:type="dxa"/>
          </w:tcPr>
          <w:p w:rsidR="00640EC9" w:rsidRPr="00D66DF3" w:rsidRDefault="00640EC9" w:rsidP="00414AB3">
            <w:pPr>
              <w:rPr>
                <w:b/>
                <w:bCs/>
                <w:lang w:val="en-CA"/>
              </w:rPr>
            </w:pPr>
            <w:r w:rsidRPr="00D66DF3">
              <w:rPr>
                <w:b/>
                <w:bCs/>
                <w:lang w:val="en-CA"/>
              </w:rPr>
              <w:t>Version of Radio Regulations</w:t>
            </w:r>
          </w:p>
        </w:tc>
        <w:tc>
          <w:tcPr>
            <w:tcW w:w="2842" w:type="dxa"/>
          </w:tcPr>
          <w:p w:rsidR="00640EC9" w:rsidRPr="00D66DF3" w:rsidRDefault="00640EC9" w:rsidP="00414AB3">
            <w:pPr>
              <w:rPr>
                <w:b/>
                <w:bCs/>
                <w:lang w:val="en-CA"/>
              </w:rPr>
            </w:pPr>
            <w:r w:rsidRPr="00D66DF3">
              <w:rPr>
                <w:b/>
                <w:bCs/>
                <w:lang w:val="en-CA"/>
              </w:rPr>
              <w:t>Length of Regulatory Period</w:t>
            </w:r>
          </w:p>
        </w:tc>
        <w:tc>
          <w:tcPr>
            <w:tcW w:w="2816" w:type="dxa"/>
          </w:tcPr>
          <w:p w:rsidR="00640EC9" w:rsidRPr="00D66DF3" w:rsidRDefault="00640EC9" w:rsidP="00414AB3">
            <w:pPr>
              <w:rPr>
                <w:b/>
                <w:bCs/>
                <w:lang w:val="en-CA"/>
              </w:rPr>
            </w:pPr>
            <w:r w:rsidRPr="00D66DF3">
              <w:rPr>
                <w:b/>
                <w:bCs/>
                <w:lang w:val="en-CA"/>
              </w:rPr>
              <w:t>Possible Length of Extension</w:t>
            </w:r>
          </w:p>
        </w:tc>
        <w:tc>
          <w:tcPr>
            <w:tcW w:w="2235" w:type="dxa"/>
          </w:tcPr>
          <w:p w:rsidR="00640EC9" w:rsidRPr="00D66DF3" w:rsidRDefault="00640EC9" w:rsidP="00414AB3">
            <w:pPr>
              <w:rPr>
                <w:b/>
                <w:bCs/>
                <w:lang w:val="en-CA"/>
              </w:rPr>
            </w:pPr>
            <w:r w:rsidRPr="00D66DF3">
              <w:rPr>
                <w:b/>
                <w:bCs/>
                <w:lang w:val="en-CA"/>
              </w:rPr>
              <w:t>Suspension Period</w:t>
            </w:r>
          </w:p>
        </w:tc>
      </w:tr>
      <w:tr w:rsidR="00640EC9" w:rsidRPr="00144B87" w:rsidTr="008B553A">
        <w:tc>
          <w:tcPr>
            <w:tcW w:w="1736" w:type="dxa"/>
          </w:tcPr>
          <w:p w:rsidR="00640EC9" w:rsidRPr="00144B87" w:rsidRDefault="00640EC9" w:rsidP="00414AB3">
            <w:pPr>
              <w:rPr>
                <w:lang w:val="en-CA"/>
              </w:rPr>
            </w:pPr>
            <w:r w:rsidRPr="00144B87">
              <w:rPr>
                <w:lang w:val="en-CA"/>
              </w:rPr>
              <w:t>Orb-88</w:t>
            </w:r>
          </w:p>
        </w:tc>
        <w:tc>
          <w:tcPr>
            <w:tcW w:w="2842" w:type="dxa"/>
          </w:tcPr>
          <w:p w:rsidR="00640EC9" w:rsidRPr="00144B87" w:rsidRDefault="00640EC9" w:rsidP="00414AB3">
            <w:pPr>
              <w:rPr>
                <w:lang w:val="en-CA"/>
              </w:rPr>
            </w:pPr>
            <w:r w:rsidRPr="00144B87">
              <w:rPr>
                <w:lang w:val="en-CA"/>
              </w:rPr>
              <w:t>6 years (from publication date)</w:t>
            </w:r>
          </w:p>
        </w:tc>
        <w:tc>
          <w:tcPr>
            <w:tcW w:w="2816" w:type="dxa"/>
          </w:tcPr>
          <w:p w:rsidR="00640EC9" w:rsidRPr="00144B87" w:rsidRDefault="00640EC9" w:rsidP="00414AB3">
            <w:pPr>
              <w:rPr>
                <w:lang w:val="en-CA"/>
              </w:rPr>
            </w:pPr>
            <w:r w:rsidRPr="00144B87">
              <w:rPr>
                <w:lang w:val="en-CA"/>
              </w:rPr>
              <w:t>3 years</w:t>
            </w:r>
          </w:p>
        </w:tc>
        <w:tc>
          <w:tcPr>
            <w:tcW w:w="2235" w:type="dxa"/>
          </w:tcPr>
          <w:p w:rsidR="00640EC9" w:rsidRPr="00144B87" w:rsidRDefault="00640EC9" w:rsidP="00414AB3">
            <w:pPr>
              <w:rPr>
                <w:lang w:val="en-CA"/>
              </w:rPr>
            </w:pPr>
            <w:r w:rsidRPr="00144B87">
              <w:rPr>
                <w:lang w:val="en-CA"/>
              </w:rPr>
              <w:t>Not applicable</w:t>
            </w:r>
          </w:p>
        </w:tc>
      </w:tr>
      <w:tr w:rsidR="00640EC9" w:rsidRPr="00144B87" w:rsidTr="008B553A">
        <w:tc>
          <w:tcPr>
            <w:tcW w:w="1736" w:type="dxa"/>
          </w:tcPr>
          <w:p w:rsidR="00640EC9" w:rsidRPr="00144B87" w:rsidRDefault="00640EC9" w:rsidP="00414AB3">
            <w:pPr>
              <w:rPr>
                <w:lang w:val="en-CA"/>
              </w:rPr>
            </w:pPr>
            <w:r w:rsidRPr="00144B87">
              <w:rPr>
                <w:lang w:val="en-CA"/>
              </w:rPr>
              <w:t>1990</w:t>
            </w:r>
          </w:p>
        </w:tc>
        <w:tc>
          <w:tcPr>
            <w:tcW w:w="2842" w:type="dxa"/>
          </w:tcPr>
          <w:p w:rsidR="00640EC9" w:rsidRPr="00144B87" w:rsidRDefault="00640EC9" w:rsidP="00414AB3">
            <w:pPr>
              <w:rPr>
                <w:lang w:val="en-CA"/>
              </w:rPr>
            </w:pPr>
            <w:r w:rsidRPr="00144B87">
              <w:rPr>
                <w:lang w:val="en-CA"/>
              </w:rPr>
              <w:t>6 years (from publication date)</w:t>
            </w:r>
          </w:p>
        </w:tc>
        <w:tc>
          <w:tcPr>
            <w:tcW w:w="2816" w:type="dxa"/>
          </w:tcPr>
          <w:p w:rsidR="00640EC9" w:rsidRPr="00144B87" w:rsidRDefault="00640EC9" w:rsidP="00414AB3">
            <w:pPr>
              <w:rPr>
                <w:lang w:val="en-CA"/>
              </w:rPr>
            </w:pPr>
            <w:r w:rsidRPr="00144B87">
              <w:rPr>
                <w:lang w:val="en-CA"/>
              </w:rPr>
              <w:t>3 years</w:t>
            </w:r>
          </w:p>
        </w:tc>
        <w:tc>
          <w:tcPr>
            <w:tcW w:w="2235" w:type="dxa"/>
          </w:tcPr>
          <w:p w:rsidR="00640EC9" w:rsidRPr="00144B87" w:rsidRDefault="00640EC9" w:rsidP="00414AB3">
            <w:pPr>
              <w:rPr>
                <w:lang w:val="en-CA"/>
              </w:rPr>
            </w:pPr>
            <w:r w:rsidRPr="00144B87">
              <w:rPr>
                <w:lang w:val="en-CA"/>
              </w:rPr>
              <w:t>Not applicable</w:t>
            </w:r>
          </w:p>
        </w:tc>
      </w:tr>
      <w:tr w:rsidR="00640EC9" w:rsidRPr="00144B87" w:rsidTr="008B553A">
        <w:tc>
          <w:tcPr>
            <w:tcW w:w="1736" w:type="dxa"/>
          </w:tcPr>
          <w:p w:rsidR="00640EC9" w:rsidRPr="00144B87" w:rsidRDefault="00640EC9" w:rsidP="00414AB3">
            <w:pPr>
              <w:rPr>
                <w:lang w:val="en-CA"/>
              </w:rPr>
            </w:pPr>
            <w:r w:rsidRPr="00144B87">
              <w:rPr>
                <w:lang w:val="en-CA"/>
              </w:rPr>
              <w:t>1994</w:t>
            </w:r>
          </w:p>
        </w:tc>
        <w:tc>
          <w:tcPr>
            <w:tcW w:w="2842" w:type="dxa"/>
          </w:tcPr>
          <w:p w:rsidR="00640EC9" w:rsidRPr="00144B87" w:rsidRDefault="00640EC9" w:rsidP="00414AB3">
            <w:pPr>
              <w:rPr>
                <w:lang w:val="en-CA"/>
              </w:rPr>
            </w:pPr>
            <w:r w:rsidRPr="00144B87">
              <w:rPr>
                <w:lang w:val="en-CA"/>
              </w:rPr>
              <w:t>6 years (from publication date)</w:t>
            </w:r>
          </w:p>
        </w:tc>
        <w:tc>
          <w:tcPr>
            <w:tcW w:w="2816" w:type="dxa"/>
          </w:tcPr>
          <w:p w:rsidR="00640EC9" w:rsidRPr="00144B87" w:rsidRDefault="00640EC9" w:rsidP="00414AB3">
            <w:pPr>
              <w:rPr>
                <w:lang w:val="en-CA"/>
              </w:rPr>
            </w:pPr>
            <w:r w:rsidRPr="00144B87">
              <w:rPr>
                <w:lang w:val="en-CA"/>
              </w:rPr>
              <w:t>3 years</w:t>
            </w:r>
          </w:p>
        </w:tc>
        <w:tc>
          <w:tcPr>
            <w:tcW w:w="2235" w:type="dxa"/>
          </w:tcPr>
          <w:p w:rsidR="00640EC9" w:rsidRPr="00144B87" w:rsidRDefault="00640EC9" w:rsidP="00414AB3">
            <w:pPr>
              <w:rPr>
                <w:lang w:val="en-CA"/>
              </w:rPr>
            </w:pPr>
            <w:r w:rsidRPr="00144B87">
              <w:rPr>
                <w:lang w:val="en-CA"/>
              </w:rPr>
              <w:t>Not applicable</w:t>
            </w:r>
          </w:p>
        </w:tc>
      </w:tr>
      <w:tr w:rsidR="00640EC9" w:rsidRPr="00144B87" w:rsidTr="008B553A">
        <w:tc>
          <w:tcPr>
            <w:tcW w:w="1736" w:type="dxa"/>
          </w:tcPr>
          <w:p w:rsidR="00640EC9" w:rsidRPr="00144B87" w:rsidRDefault="00640EC9" w:rsidP="00414AB3">
            <w:pPr>
              <w:rPr>
                <w:lang w:val="en-CA"/>
              </w:rPr>
            </w:pPr>
            <w:r w:rsidRPr="00144B87">
              <w:rPr>
                <w:lang w:val="en-CA"/>
              </w:rPr>
              <w:t>1998</w:t>
            </w:r>
          </w:p>
        </w:tc>
        <w:tc>
          <w:tcPr>
            <w:tcW w:w="2842" w:type="dxa"/>
          </w:tcPr>
          <w:p w:rsidR="00640EC9" w:rsidRPr="00144B87" w:rsidRDefault="00640EC9" w:rsidP="00414AB3">
            <w:pPr>
              <w:rPr>
                <w:lang w:val="en-CA"/>
              </w:rPr>
            </w:pPr>
            <w:r w:rsidRPr="00144B87">
              <w:rPr>
                <w:lang w:val="en-CA"/>
              </w:rPr>
              <w:t>5 years</w:t>
            </w:r>
          </w:p>
        </w:tc>
        <w:tc>
          <w:tcPr>
            <w:tcW w:w="2816" w:type="dxa"/>
          </w:tcPr>
          <w:p w:rsidR="00640EC9" w:rsidRPr="00144B87" w:rsidRDefault="00640EC9" w:rsidP="00414AB3">
            <w:pPr>
              <w:rPr>
                <w:lang w:val="en-CA"/>
              </w:rPr>
            </w:pPr>
            <w:r w:rsidRPr="00144B87">
              <w:rPr>
                <w:lang w:val="en-CA"/>
              </w:rPr>
              <w:t>2 years</w:t>
            </w:r>
          </w:p>
        </w:tc>
        <w:tc>
          <w:tcPr>
            <w:tcW w:w="2235" w:type="dxa"/>
          </w:tcPr>
          <w:p w:rsidR="00640EC9" w:rsidRPr="00144B87" w:rsidRDefault="00640EC9" w:rsidP="00414AB3">
            <w:pPr>
              <w:rPr>
                <w:lang w:val="en-CA"/>
              </w:rPr>
            </w:pPr>
            <w:r w:rsidRPr="00144B87">
              <w:rPr>
                <w:lang w:val="en-CA"/>
              </w:rPr>
              <w:t>18 months</w:t>
            </w:r>
          </w:p>
        </w:tc>
      </w:tr>
      <w:tr w:rsidR="00640EC9" w:rsidRPr="00144B87" w:rsidTr="008B553A">
        <w:tc>
          <w:tcPr>
            <w:tcW w:w="1736" w:type="dxa"/>
          </w:tcPr>
          <w:p w:rsidR="00640EC9" w:rsidRPr="00144B87" w:rsidRDefault="00640EC9" w:rsidP="00414AB3">
            <w:pPr>
              <w:rPr>
                <w:lang w:val="en-CA"/>
              </w:rPr>
            </w:pPr>
            <w:r w:rsidRPr="00144B87">
              <w:rPr>
                <w:lang w:val="en-CA"/>
              </w:rPr>
              <w:t>2001</w:t>
            </w:r>
          </w:p>
        </w:tc>
        <w:tc>
          <w:tcPr>
            <w:tcW w:w="2842" w:type="dxa"/>
          </w:tcPr>
          <w:p w:rsidR="00640EC9" w:rsidRPr="00144B87" w:rsidRDefault="00640EC9" w:rsidP="00414AB3">
            <w:pPr>
              <w:rPr>
                <w:lang w:val="en-CA"/>
              </w:rPr>
            </w:pPr>
            <w:r w:rsidRPr="00144B87">
              <w:rPr>
                <w:lang w:val="en-CA"/>
              </w:rPr>
              <w:t>5 years</w:t>
            </w:r>
          </w:p>
        </w:tc>
        <w:tc>
          <w:tcPr>
            <w:tcW w:w="2816" w:type="dxa"/>
          </w:tcPr>
          <w:p w:rsidR="00640EC9" w:rsidRPr="00144B87" w:rsidRDefault="00640EC9" w:rsidP="00414AB3">
            <w:pPr>
              <w:rPr>
                <w:lang w:val="en-CA"/>
              </w:rPr>
            </w:pPr>
            <w:r w:rsidRPr="00144B87">
              <w:rPr>
                <w:lang w:val="en-CA"/>
              </w:rPr>
              <w:t>2 years</w:t>
            </w:r>
          </w:p>
        </w:tc>
        <w:tc>
          <w:tcPr>
            <w:tcW w:w="2235" w:type="dxa"/>
          </w:tcPr>
          <w:p w:rsidR="00640EC9" w:rsidRPr="00144B87" w:rsidRDefault="00640EC9" w:rsidP="00414AB3">
            <w:pPr>
              <w:rPr>
                <w:lang w:val="en-CA"/>
              </w:rPr>
            </w:pPr>
            <w:r w:rsidRPr="00144B87">
              <w:rPr>
                <w:lang w:val="en-CA"/>
              </w:rPr>
              <w:t>2 years</w:t>
            </w:r>
          </w:p>
        </w:tc>
      </w:tr>
      <w:tr w:rsidR="00640EC9" w:rsidRPr="00144B87" w:rsidTr="008B553A">
        <w:tc>
          <w:tcPr>
            <w:tcW w:w="1736" w:type="dxa"/>
          </w:tcPr>
          <w:p w:rsidR="00640EC9" w:rsidRPr="00144B87" w:rsidRDefault="00640EC9" w:rsidP="00414AB3">
            <w:pPr>
              <w:rPr>
                <w:lang w:val="en-CA"/>
              </w:rPr>
            </w:pPr>
            <w:r w:rsidRPr="00144B87">
              <w:rPr>
                <w:lang w:val="en-CA"/>
              </w:rPr>
              <w:t>2004</w:t>
            </w:r>
          </w:p>
        </w:tc>
        <w:tc>
          <w:tcPr>
            <w:tcW w:w="2842" w:type="dxa"/>
          </w:tcPr>
          <w:p w:rsidR="00640EC9" w:rsidRPr="00144B87" w:rsidRDefault="00640EC9" w:rsidP="00414AB3">
            <w:pPr>
              <w:rPr>
                <w:lang w:val="en-CA"/>
              </w:rPr>
            </w:pPr>
            <w:r w:rsidRPr="00144B87">
              <w:rPr>
                <w:lang w:val="en-CA"/>
              </w:rPr>
              <w:t>7 years</w:t>
            </w:r>
          </w:p>
        </w:tc>
        <w:tc>
          <w:tcPr>
            <w:tcW w:w="2816" w:type="dxa"/>
          </w:tcPr>
          <w:p w:rsidR="00640EC9" w:rsidRPr="00144B87" w:rsidRDefault="00640EC9" w:rsidP="00414AB3">
            <w:pPr>
              <w:rPr>
                <w:lang w:val="en-CA"/>
              </w:rPr>
            </w:pPr>
            <w:r w:rsidRPr="00144B87">
              <w:rPr>
                <w:lang w:val="en-CA"/>
              </w:rPr>
              <w:t>0</w:t>
            </w:r>
          </w:p>
        </w:tc>
        <w:tc>
          <w:tcPr>
            <w:tcW w:w="2235" w:type="dxa"/>
          </w:tcPr>
          <w:p w:rsidR="00640EC9" w:rsidRPr="00144B87" w:rsidRDefault="00640EC9" w:rsidP="00414AB3">
            <w:pPr>
              <w:rPr>
                <w:lang w:val="en-CA"/>
              </w:rPr>
            </w:pPr>
            <w:r w:rsidRPr="00144B87">
              <w:rPr>
                <w:lang w:val="en-CA"/>
              </w:rPr>
              <w:t>2 years</w:t>
            </w:r>
          </w:p>
        </w:tc>
      </w:tr>
      <w:tr w:rsidR="00640EC9" w:rsidRPr="00144B87" w:rsidTr="008B553A">
        <w:tc>
          <w:tcPr>
            <w:tcW w:w="1736" w:type="dxa"/>
          </w:tcPr>
          <w:p w:rsidR="00640EC9" w:rsidRPr="00144B87" w:rsidRDefault="00640EC9" w:rsidP="00414AB3">
            <w:pPr>
              <w:rPr>
                <w:lang w:val="en-CA"/>
              </w:rPr>
            </w:pPr>
            <w:r w:rsidRPr="00144B87">
              <w:rPr>
                <w:lang w:val="en-CA"/>
              </w:rPr>
              <w:t>2008</w:t>
            </w:r>
          </w:p>
        </w:tc>
        <w:tc>
          <w:tcPr>
            <w:tcW w:w="2842" w:type="dxa"/>
          </w:tcPr>
          <w:p w:rsidR="00640EC9" w:rsidRPr="00144B87" w:rsidRDefault="00640EC9" w:rsidP="00414AB3">
            <w:pPr>
              <w:rPr>
                <w:lang w:val="en-CA"/>
              </w:rPr>
            </w:pPr>
            <w:r w:rsidRPr="00144B87">
              <w:rPr>
                <w:lang w:val="en-CA"/>
              </w:rPr>
              <w:t>7 years</w:t>
            </w:r>
          </w:p>
        </w:tc>
        <w:tc>
          <w:tcPr>
            <w:tcW w:w="2816" w:type="dxa"/>
          </w:tcPr>
          <w:p w:rsidR="00640EC9" w:rsidRPr="00144B87" w:rsidRDefault="00640EC9" w:rsidP="00414AB3">
            <w:pPr>
              <w:rPr>
                <w:lang w:val="en-CA"/>
              </w:rPr>
            </w:pPr>
            <w:r w:rsidRPr="00144B87">
              <w:rPr>
                <w:lang w:val="en-CA"/>
              </w:rPr>
              <w:t>0</w:t>
            </w:r>
          </w:p>
        </w:tc>
        <w:tc>
          <w:tcPr>
            <w:tcW w:w="2235" w:type="dxa"/>
          </w:tcPr>
          <w:p w:rsidR="00640EC9" w:rsidRPr="00144B87" w:rsidRDefault="00640EC9" w:rsidP="00414AB3">
            <w:pPr>
              <w:rPr>
                <w:lang w:val="en-CA"/>
              </w:rPr>
            </w:pPr>
            <w:r w:rsidRPr="00144B87">
              <w:rPr>
                <w:lang w:val="en-CA"/>
              </w:rPr>
              <w:t>2 years</w:t>
            </w:r>
          </w:p>
        </w:tc>
      </w:tr>
      <w:tr w:rsidR="000C3C5D" w:rsidTr="008B553A">
        <w:tc>
          <w:tcPr>
            <w:tcW w:w="1736" w:type="dxa"/>
          </w:tcPr>
          <w:p w:rsidR="00640EC9" w:rsidRPr="00144B87" w:rsidRDefault="00640EC9" w:rsidP="00414AB3">
            <w:pPr>
              <w:rPr>
                <w:lang w:val="en-CA"/>
              </w:rPr>
            </w:pPr>
            <w:r w:rsidRPr="00144B87">
              <w:rPr>
                <w:lang w:val="en-CA"/>
              </w:rPr>
              <w:t>2012</w:t>
            </w:r>
          </w:p>
        </w:tc>
        <w:tc>
          <w:tcPr>
            <w:tcW w:w="2842" w:type="dxa"/>
          </w:tcPr>
          <w:p w:rsidR="00640EC9" w:rsidRPr="00144B87" w:rsidRDefault="00640EC9" w:rsidP="00414AB3">
            <w:pPr>
              <w:rPr>
                <w:lang w:val="en-CA"/>
              </w:rPr>
            </w:pPr>
            <w:r w:rsidRPr="00144B87">
              <w:rPr>
                <w:lang w:val="en-CA"/>
              </w:rPr>
              <w:t>7 years</w:t>
            </w:r>
          </w:p>
        </w:tc>
        <w:tc>
          <w:tcPr>
            <w:tcW w:w="2816" w:type="dxa"/>
          </w:tcPr>
          <w:p w:rsidR="00640EC9" w:rsidRPr="00144B87" w:rsidRDefault="00640EC9" w:rsidP="00414AB3">
            <w:pPr>
              <w:rPr>
                <w:lang w:val="en-CA"/>
              </w:rPr>
            </w:pPr>
            <w:r w:rsidRPr="00144B87">
              <w:rPr>
                <w:lang w:val="en-CA"/>
              </w:rPr>
              <w:t>0</w:t>
            </w:r>
          </w:p>
        </w:tc>
        <w:tc>
          <w:tcPr>
            <w:tcW w:w="2235" w:type="dxa"/>
          </w:tcPr>
          <w:p w:rsidR="00640EC9" w:rsidRPr="00144B87" w:rsidRDefault="00640EC9" w:rsidP="00414AB3">
            <w:pPr>
              <w:rPr>
                <w:lang w:val="en-CA"/>
              </w:rPr>
            </w:pPr>
            <w:r w:rsidRPr="00144B87">
              <w:rPr>
                <w:lang w:val="en-CA"/>
              </w:rPr>
              <w:t>3 years</w:t>
            </w:r>
          </w:p>
        </w:tc>
      </w:tr>
    </w:tbl>
    <w:p w:rsidR="00640EC9" w:rsidRPr="00414AB3" w:rsidRDefault="00640EC9" w:rsidP="005317FE">
      <w:r w:rsidRPr="00414AB3">
        <w:t>As can be seen from the table, prior to WRC-97, an administration had 6 years to bring their frequency assignments into use, with a poss</w:t>
      </w:r>
      <w:r w:rsidR="008B553A" w:rsidRPr="00414AB3">
        <w:t xml:space="preserve">ible extension of three years. </w:t>
      </w:r>
      <w:r w:rsidRPr="00414AB3">
        <w:t xml:space="preserve">At WRC-97, it was decided to reduce the regulatory period by one year and the extension </w:t>
      </w:r>
      <w:r w:rsidR="008B553A" w:rsidRPr="00414AB3">
        <w:t xml:space="preserve">by one year. </w:t>
      </w:r>
      <w:r w:rsidRPr="00414AB3">
        <w:t xml:space="preserve">As a result, the regulatory period became five years and, if needed, due to extenuating circumstances, an administration could ask for a two year extension. </w:t>
      </w:r>
    </w:p>
    <w:p w:rsidR="00640EC9" w:rsidRPr="00144B87" w:rsidRDefault="00640EC9" w:rsidP="00414AB3">
      <w:pPr>
        <w:rPr>
          <w:lang w:val="en-CA"/>
        </w:rPr>
      </w:pPr>
      <w:r w:rsidRPr="00144B87">
        <w:rPr>
          <w:lang w:val="en-CA"/>
        </w:rPr>
        <w:t xml:space="preserve">Prior to WRC-03, the regulatory period to bring into use (BiU) a frequency assignment to a satellite network was five years with a possibility for a two year extension under specific conditions identified in Article </w:t>
      </w:r>
      <w:r w:rsidRPr="00F12987">
        <w:rPr>
          <w:bCs/>
          <w:lang w:val="en-CA"/>
        </w:rPr>
        <w:t>11</w:t>
      </w:r>
      <w:r w:rsidRPr="00144B87">
        <w:rPr>
          <w:lang w:val="en-CA"/>
        </w:rPr>
        <w:t xml:space="preserve"> (2001 version of the Radio Regulations, No. </w:t>
      </w:r>
      <w:r w:rsidRPr="008B553A">
        <w:rPr>
          <w:bCs/>
          <w:lang w:val="en-CA"/>
        </w:rPr>
        <w:t>11.44C to 11.44I</w:t>
      </w:r>
      <w:r w:rsidRPr="00144B87">
        <w:rPr>
          <w:lang w:val="en-CA"/>
        </w:rPr>
        <w:t xml:space="preserve">) including, but not limited to launch failure. In its Report to WRC-03, the Director of the Radiocommunication Bureau indicated that the examinations of request for the extension of the regulatory period under the conditions specified in Nos. </w:t>
      </w:r>
      <w:r w:rsidRPr="008B553A">
        <w:rPr>
          <w:bCs/>
          <w:lang w:val="en-CA"/>
        </w:rPr>
        <w:t>11.44C to 11.44I</w:t>
      </w:r>
      <w:r w:rsidRPr="00144B87">
        <w:rPr>
          <w:lang w:val="en-CA"/>
        </w:rPr>
        <w:t xml:space="preserve"> were time and resource consuming and were leading to a quasi-automatic extension up to seven years. Indeed, very few frequency assignments to satellite networks ended been suppressed at the end of the 5 year-regulatory period. In adopting a flat seven-year regulatory period, WRC-03 made the decision to incorporate within the regulatory period margins to handle c</w:t>
      </w:r>
      <w:r w:rsidR="008B553A">
        <w:rPr>
          <w:lang w:val="en-CA"/>
        </w:rPr>
        <w:t xml:space="preserve">ases involving launch failure. </w:t>
      </w:r>
      <w:r w:rsidRPr="00144B87">
        <w:rPr>
          <w:lang w:val="en-CA"/>
        </w:rPr>
        <w:t xml:space="preserve">In theory, an administration would have up to five years to bring its satellite into use, and in the cases of force majeure, the administration would automatically </w:t>
      </w:r>
      <w:r w:rsidR="008B553A">
        <w:rPr>
          <w:lang w:val="en-CA"/>
        </w:rPr>
        <w:t xml:space="preserve">have extension time built in. </w:t>
      </w:r>
      <w:r w:rsidRPr="00144B87">
        <w:rPr>
          <w:lang w:val="en-CA"/>
        </w:rPr>
        <w:t>Unfortunately, experience has shown that the seven-year regulatory period is typically used to its full extent to BiU assignments without any regard to the need to manage risks associated with launch failure o</w:t>
      </w:r>
      <w:r w:rsidR="008B553A">
        <w:rPr>
          <w:lang w:val="en-CA"/>
        </w:rPr>
        <w:t xml:space="preserve">r any other unexpected delays. </w:t>
      </w:r>
      <w:r w:rsidRPr="00144B87">
        <w:rPr>
          <w:lang w:val="en-CA"/>
        </w:rPr>
        <w:t>It</w:t>
      </w:r>
      <w:r w:rsidR="008B553A">
        <w:rPr>
          <w:lang w:val="en-CA"/>
        </w:rPr>
        <w:t> </w:t>
      </w:r>
      <w:r w:rsidRPr="00144B87">
        <w:rPr>
          <w:lang w:val="en-CA"/>
        </w:rPr>
        <w:t xml:space="preserve">is interesting to note that some administrations have domestic rules that require satellite operators to launch their satellite within 5-years in </w:t>
      </w:r>
      <w:r w:rsidR="008B553A">
        <w:rPr>
          <w:lang w:val="en-CA"/>
        </w:rPr>
        <w:t xml:space="preserve">order to retain their licence. </w:t>
      </w:r>
      <w:r w:rsidRPr="00144B87">
        <w:rPr>
          <w:lang w:val="en-CA"/>
        </w:rPr>
        <w:t>The seven year regulatory period is sufficient and operators need to plan and manage their risk accordingly. There are methods to mitigate risk associated with potential launch failure such as reserving two years of the seven-year regulatory period or procuring a backup in-orbit spacecraft in advance of a launch. Furthermore, there are options for administrations facing extraordinary circumstances to go to a Conference to ask for an extension of the regulatory period to Bring into use frequency assignments to their satellite networks.</w:t>
      </w:r>
    </w:p>
    <w:p w:rsidR="00640EC9" w:rsidRPr="00144B87" w:rsidRDefault="00640EC9" w:rsidP="00414AB3">
      <w:pPr>
        <w:rPr>
          <w:lang w:val="en-CA"/>
        </w:rPr>
      </w:pPr>
      <w:r w:rsidRPr="00144B87">
        <w:rPr>
          <w:lang w:val="en-CA"/>
        </w:rPr>
        <w:lastRenderedPageBreak/>
        <w:t>It is important to note that launch failure is not limited to cases involving the destruction of the satellite but also to cases where the satellite is not reaching its orbital location or is not able to fully deploy its antenna or solar panels. It is also important to note that a launch failure resulting in the destruction of a satellite may have an impact on the launch schedule of other satellites using the same type of launch vehicle as the one involved in the launch failure. In general, it is very challenging to cover in the Radio Regulations all legitimate instances where an extension of the regulatory period for bringing into use of frequency assignments to a satellite network could be granted and, in any case, the Radio Regulations are not meant to ad</w:t>
      </w:r>
      <w:r w:rsidR="008B553A">
        <w:rPr>
          <w:lang w:val="en-CA"/>
        </w:rPr>
        <w:t xml:space="preserve">dress all exceptional cases. </w:t>
      </w:r>
      <w:r w:rsidRPr="00144B87">
        <w:rPr>
          <w:lang w:val="en-CA"/>
        </w:rPr>
        <w:t>This</w:t>
      </w:r>
      <w:r w:rsidR="008B553A">
        <w:rPr>
          <w:lang w:val="en-CA"/>
        </w:rPr>
        <w:t> </w:t>
      </w:r>
      <w:r w:rsidRPr="00144B87">
        <w:rPr>
          <w:lang w:val="en-CA"/>
        </w:rPr>
        <w:t>is why WRC-03 decided to incorporate the 2 year extensi</w:t>
      </w:r>
      <w:r w:rsidR="008B553A">
        <w:rPr>
          <w:lang w:val="en-CA"/>
        </w:rPr>
        <w:t>on into the regulatory period.</w:t>
      </w:r>
    </w:p>
    <w:p w:rsidR="00640EC9" w:rsidRPr="00144B87" w:rsidRDefault="00640EC9" w:rsidP="00414AB3">
      <w:pPr>
        <w:rPr>
          <w:lang w:val="en-CA"/>
        </w:rPr>
      </w:pPr>
      <w:r w:rsidRPr="00144B87">
        <w:rPr>
          <w:lang w:val="en-CA"/>
        </w:rPr>
        <w:t xml:space="preserve">WRC-03 adopted a flat seven-year regulatory period, assuming among other things, a satellite launch not later than the end of the fifth year, leaving a two-year period for another BiU attempt in case of a launch failure. At the same time and in response to some specific events, WRC-03 adopted new regulatory provisions for frequency assignments to satellite network in the planned bands (Appendices </w:t>
      </w:r>
      <w:r w:rsidRPr="008B553A">
        <w:rPr>
          <w:bCs/>
          <w:lang w:val="en-CA"/>
        </w:rPr>
        <w:t>30 and 30A</w:t>
      </w:r>
      <w:r w:rsidRPr="00144B87">
        <w:rPr>
          <w:lang w:val="en-CA"/>
        </w:rPr>
        <w:t>)</w:t>
      </w:r>
      <w:r w:rsidRPr="00BA0ECC">
        <w:rPr>
          <w:rStyle w:val="FootnoteReference"/>
        </w:rPr>
        <w:footnoteReference w:id="1"/>
      </w:r>
      <w:r w:rsidRPr="00144B87">
        <w:rPr>
          <w:lang w:val="en-CA"/>
        </w:rPr>
        <w:t xml:space="preserve"> to address cases of satellite launch failure occurring after the fifth year of the eight-year regulatory period. Under these new provisions, a maximum three-year extension could be granted in cases involving the destruction of a satellite during its launch or a failure to reach its assigned orbital location.</w:t>
      </w:r>
    </w:p>
    <w:p w:rsidR="00640EC9" w:rsidRPr="00144B87" w:rsidRDefault="00640EC9" w:rsidP="00414AB3">
      <w:pPr>
        <w:rPr>
          <w:lang w:val="en-CA"/>
        </w:rPr>
      </w:pPr>
      <w:r w:rsidRPr="00144B87">
        <w:rPr>
          <w:lang w:val="en-CA"/>
        </w:rPr>
        <w:t xml:space="preserve">In support of a new provision in Article </w:t>
      </w:r>
      <w:r w:rsidRPr="008B553A">
        <w:rPr>
          <w:bCs/>
          <w:lang w:val="en-CA"/>
        </w:rPr>
        <w:t>11</w:t>
      </w:r>
      <w:r w:rsidRPr="00144B87">
        <w:rPr>
          <w:lang w:val="en-CA"/>
        </w:rPr>
        <w:t xml:space="preserve"> for an extension of the regulatory period in case of a launch failure, some proponents have raised the need to harmonize the regulatory provisions in both the </w:t>
      </w:r>
      <w:r w:rsidR="008B553A">
        <w:rPr>
          <w:lang w:val="en-CA"/>
        </w:rPr>
        <w:t xml:space="preserve">planned and non-planned bands. </w:t>
      </w:r>
      <w:r w:rsidRPr="00144B87">
        <w:rPr>
          <w:lang w:val="en-CA"/>
        </w:rPr>
        <w:t>Although harmonization throughout the Radio regulations may appear to be desirable, it should take into account the difference between the principles that lead to the establishment of the first come first served approach in the non-planned bands versus the equitable access approach used in the planned bands. Furthermore, Plans in the RR promote equitable access, so the rules should have the flexibility to allo</w:t>
      </w:r>
      <w:r w:rsidR="008B553A">
        <w:rPr>
          <w:lang w:val="en-CA"/>
        </w:rPr>
        <w:t xml:space="preserve">w these goals to be achieved. </w:t>
      </w:r>
      <w:r w:rsidRPr="00144B87">
        <w:rPr>
          <w:lang w:val="en-CA"/>
        </w:rPr>
        <w:t>This</w:t>
      </w:r>
      <w:r w:rsidR="008B553A">
        <w:rPr>
          <w:lang w:val="en-CA"/>
        </w:rPr>
        <w:t> </w:t>
      </w:r>
      <w:r w:rsidRPr="00144B87">
        <w:rPr>
          <w:lang w:val="en-CA"/>
        </w:rPr>
        <w:t>cannot be the case in the non-planned bands where the intent is to use radio frequencies and the geostationary orbit as efficiently and effectively as possible.</w:t>
      </w:r>
    </w:p>
    <w:p w:rsidR="00640EC9" w:rsidRPr="00666FEE" w:rsidRDefault="00640EC9" w:rsidP="00414AB3">
      <w:pPr>
        <w:pStyle w:val="Headingb"/>
        <w:rPr>
          <w:u w:val="single"/>
          <w:lang w:val="en-US"/>
        </w:rPr>
      </w:pPr>
      <w:r w:rsidRPr="00666FEE">
        <w:rPr>
          <w:lang w:val="en-US"/>
        </w:rPr>
        <w:t>Proposal</w:t>
      </w:r>
    </w:p>
    <w:p w:rsidR="00F5546E" w:rsidRDefault="00640EC9" w:rsidP="00414AB3">
      <w:pPr>
        <w:pStyle w:val="Proposal"/>
      </w:pPr>
      <w:r>
        <w:rPr>
          <w:u w:val="single"/>
        </w:rPr>
        <w:t>NOC</w:t>
      </w:r>
      <w:r>
        <w:tab/>
        <w:t>CAN/EQA/54/1</w:t>
      </w:r>
    </w:p>
    <w:p w:rsidR="009B463A" w:rsidRPr="00667882" w:rsidRDefault="00640EC9" w:rsidP="00414AB3">
      <w:pPr>
        <w:pStyle w:val="ArtNo"/>
      </w:pPr>
      <w:bookmarkStart w:id="2" w:name="_Toc327956595"/>
      <w:r w:rsidRPr="00FB3369">
        <w:t>ARTICLE</w:t>
      </w:r>
      <w:r w:rsidRPr="00D41CE2">
        <w:t xml:space="preserve"> </w:t>
      </w:r>
      <w:r w:rsidRPr="00667882">
        <w:rPr>
          <w:rStyle w:val="href"/>
          <w:noProof/>
          <w:lang w:val="en-CA"/>
        </w:rPr>
        <w:t>11</w:t>
      </w:r>
      <w:bookmarkEnd w:id="2"/>
    </w:p>
    <w:p w:rsidR="009B463A" w:rsidRPr="00D41CE2" w:rsidRDefault="00640EC9" w:rsidP="00414AB3">
      <w:pPr>
        <w:pStyle w:val="Arttitle"/>
        <w:rPr>
          <w:sz w:val="16"/>
          <w:szCs w:val="16"/>
        </w:rPr>
      </w:pPr>
      <w:bookmarkStart w:id="3"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Cs/>
          <w:sz w:val="16"/>
          <w:szCs w:val="16"/>
        </w:rPr>
        <w:t>   </w:t>
      </w:r>
      <w:r w:rsidRPr="003D1979">
        <w:rPr>
          <w:bCs/>
          <w:sz w:val="16"/>
          <w:szCs w:val="16"/>
        </w:rPr>
        <w:t> (WRC</w:t>
      </w:r>
      <w:r w:rsidRPr="003D1979">
        <w:rPr>
          <w:bCs/>
          <w:sz w:val="16"/>
          <w:szCs w:val="16"/>
        </w:rPr>
        <w:noBreakHyphen/>
        <w:t>12)</w:t>
      </w:r>
      <w:bookmarkEnd w:id="3"/>
    </w:p>
    <w:p w:rsidR="00F5546E" w:rsidRDefault="00640EC9" w:rsidP="00414AB3">
      <w:pPr>
        <w:pStyle w:val="Reasons"/>
        <w:rPr>
          <w:lang w:val="en-CA"/>
        </w:rPr>
      </w:pPr>
      <w:r>
        <w:rPr>
          <w:b/>
        </w:rPr>
        <w:t>Reasons:</w:t>
      </w:r>
      <w:r>
        <w:tab/>
      </w:r>
      <w:r w:rsidR="008B553A" w:rsidRPr="00144B87">
        <w:rPr>
          <w:lang w:val="en-CA"/>
        </w:rPr>
        <w:t xml:space="preserve">The current regulatory period of seven years is sufficient for an administration to plan and launch a satellite and fulfill its regulatory obligation, noting that two of those years </w:t>
      </w:r>
      <w:r w:rsidR="00414AB3">
        <w:rPr>
          <w:lang w:val="en-CA"/>
        </w:rPr>
        <w:t>are for the time required to rebuild and re</w:t>
      </w:r>
      <w:r w:rsidR="008B553A" w:rsidRPr="00144B87">
        <w:rPr>
          <w:lang w:val="en-CA"/>
        </w:rPr>
        <w:t>launch a satellite in case of the unfortunate event of a launch failure.</w:t>
      </w:r>
    </w:p>
    <w:p w:rsidR="008B553A" w:rsidRDefault="008B553A" w:rsidP="00414AB3">
      <w:pPr>
        <w:rPr>
          <w:lang w:val="en-CA"/>
        </w:rPr>
      </w:pPr>
    </w:p>
    <w:p w:rsidR="008B553A" w:rsidRDefault="008B553A" w:rsidP="00414AB3"/>
    <w:p w:rsidR="008B553A" w:rsidRDefault="008B553A" w:rsidP="00666FEE">
      <w:pPr>
        <w:jc w:val="center"/>
      </w:pPr>
      <w:r>
        <w:t>______________</w:t>
      </w:r>
    </w:p>
    <w:p w:rsidR="008B553A" w:rsidRDefault="008B553A" w:rsidP="00414AB3"/>
    <w:sectPr w:rsidR="008B553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sidP="00414AB3">
      <w:r>
        <w:separator/>
      </w:r>
    </w:p>
  </w:endnote>
  <w:endnote w:type="continuationSeparator" w:id="0">
    <w:p w:rsidR="000705F2" w:rsidRDefault="000705F2" w:rsidP="0041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414AB3">
    <w:r>
      <w:fldChar w:fldCharType="begin"/>
    </w:r>
    <w:r>
      <w:instrText xml:space="preserve">PAGE  </w:instrText>
    </w:r>
    <w:r>
      <w:fldChar w:fldCharType="end"/>
    </w:r>
  </w:p>
  <w:p w:rsidR="00E45D05" w:rsidRPr="0041348E" w:rsidRDefault="00E45D05" w:rsidP="00414AB3">
    <w:pPr>
      <w:rPr>
        <w:lang w:val="en-US"/>
      </w:rPr>
    </w:pPr>
    <w:r>
      <w:fldChar w:fldCharType="begin"/>
    </w:r>
    <w:r w:rsidRPr="0041348E">
      <w:rPr>
        <w:lang w:val="en-US"/>
      </w:rPr>
      <w:instrText xml:space="preserve"> FILENAME \p  \* MERGEFORMAT </w:instrText>
    </w:r>
    <w:r>
      <w:fldChar w:fldCharType="separate"/>
    </w:r>
    <w:r w:rsidR="00F12987">
      <w:rPr>
        <w:noProof/>
        <w:lang w:val="en-US"/>
      </w:rPr>
      <w:t>Y:\APP\BR\POOL\WRC-15\DOC (Contributions)\1-100\054E.docx</w:t>
    </w:r>
    <w:r>
      <w:fldChar w:fldCharType="end"/>
    </w:r>
    <w:r w:rsidRPr="0041348E">
      <w:rPr>
        <w:lang w:val="en-US"/>
      </w:rPr>
      <w:tab/>
    </w:r>
    <w:r>
      <w:fldChar w:fldCharType="begin"/>
    </w:r>
    <w:r>
      <w:instrText xml:space="preserve"> SAVEDATE \@ DD.MM.YY </w:instrText>
    </w:r>
    <w:r>
      <w:fldChar w:fldCharType="separate"/>
    </w:r>
    <w:r w:rsidR="0039662A">
      <w:rPr>
        <w:noProof/>
      </w:rPr>
      <w:t>14.10.15</w:t>
    </w:r>
    <w:r>
      <w:fldChar w:fldCharType="end"/>
    </w:r>
    <w:r w:rsidRPr="0041348E">
      <w:rPr>
        <w:lang w:val="en-US"/>
      </w:rPr>
      <w:tab/>
    </w:r>
    <w:r>
      <w:fldChar w:fldCharType="begin"/>
    </w:r>
    <w:r>
      <w:instrText xml:space="preserve"> PRINTDATE \@ DD.MM.YY </w:instrText>
    </w:r>
    <w:r>
      <w:fldChar w:fldCharType="separate"/>
    </w:r>
    <w:r w:rsidR="00F12987">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D66DF3" w:rsidP="00414AB3">
    <w:pPr>
      <w:pStyle w:val="Footer"/>
    </w:pPr>
    <w:fldSimple w:instr=" FILENAME \p  \* MERGEFORMAT ">
      <w:r w:rsidR="00F57D8F">
        <w:t>P:\ENG\ITU-R\CONF-R\CMR15\000\054E.docx</w:t>
      </w:r>
    </w:fldSimple>
    <w:r w:rsidR="00F57D8F">
      <w:t xml:space="preserve"> (387859)</w:t>
    </w:r>
    <w:r w:rsidR="00F57D8F">
      <w:tab/>
    </w:r>
    <w:r w:rsidR="00F57D8F">
      <w:fldChar w:fldCharType="begin"/>
    </w:r>
    <w:r w:rsidR="00F57D8F">
      <w:instrText xml:space="preserve"> SAVEDATE \@ DD.MM.YY </w:instrText>
    </w:r>
    <w:r w:rsidR="00F57D8F">
      <w:fldChar w:fldCharType="separate"/>
    </w:r>
    <w:r w:rsidR="0039662A">
      <w:t>14.10.15</w:t>
    </w:r>
    <w:r w:rsidR="00F57D8F">
      <w:fldChar w:fldCharType="end"/>
    </w:r>
    <w:r w:rsidR="00F57D8F">
      <w:tab/>
    </w:r>
    <w:r w:rsidR="00F57D8F">
      <w:fldChar w:fldCharType="begin"/>
    </w:r>
    <w:r w:rsidR="00F57D8F">
      <w:instrText xml:space="preserve"> PRINTDATE \@ DD.MM.YY </w:instrText>
    </w:r>
    <w:r w:rsidR="00F57D8F">
      <w:fldChar w:fldCharType="separate"/>
    </w:r>
    <w:r w:rsidR="00F57D8F">
      <w:t>08.10.15</w:t>
    </w:r>
    <w:r w:rsidR="00F57D8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8F" w:rsidRDefault="0039662A" w:rsidP="00414AB3">
    <w:pPr>
      <w:pStyle w:val="Footer"/>
    </w:pPr>
    <w:r>
      <w:fldChar w:fldCharType="begin"/>
    </w:r>
    <w:r>
      <w:instrText xml:space="preserve"> FILENAME \p  \* MERGEFORMAT </w:instrText>
    </w:r>
    <w:r>
      <w:fldChar w:fldCharType="separate"/>
    </w:r>
    <w:r w:rsidR="00F57D8F">
      <w:t>P:\ENG\ITU-R\CONF-R\CMR15\000\054E.docx</w:t>
    </w:r>
    <w:r>
      <w:fldChar w:fldCharType="end"/>
    </w:r>
    <w:r w:rsidR="00F57D8F">
      <w:t xml:space="preserve"> (387859)</w:t>
    </w:r>
    <w:r w:rsidR="00F57D8F">
      <w:tab/>
    </w:r>
    <w:r w:rsidR="00F57D8F">
      <w:fldChar w:fldCharType="begin"/>
    </w:r>
    <w:r w:rsidR="00F57D8F">
      <w:instrText xml:space="preserve"> SAVEDATE \@ DD.MM.YY </w:instrText>
    </w:r>
    <w:r w:rsidR="00F57D8F">
      <w:fldChar w:fldCharType="separate"/>
    </w:r>
    <w:r>
      <w:t>14.10.15</w:t>
    </w:r>
    <w:r w:rsidR="00F57D8F">
      <w:fldChar w:fldCharType="end"/>
    </w:r>
    <w:r w:rsidR="00F57D8F">
      <w:tab/>
    </w:r>
    <w:r w:rsidR="00F57D8F">
      <w:fldChar w:fldCharType="begin"/>
    </w:r>
    <w:r w:rsidR="00F57D8F">
      <w:instrText xml:space="preserve"> PRINTDATE \@ DD.MM.YY </w:instrText>
    </w:r>
    <w:r w:rsidR="00F57D8F">
      <w:fldChar w:fldCharType="separate"/>
    </w:r>
    <w:r w:rsidR="00F57D8F">
      <w:t>08.10.15</w:t>
    </w:r>
    <w:r w:rsidR="00F57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sidP="00414AB3">
      <w:r>
        <w:t>_______________</w:t>
      </w:r>
    </w:p>
  </w:footnote>
  <w:footnote w:type="continuationSeparator" w:id="0">
    <w:p w:rsidR="000705F2" w:rsidRDefault="000705F2" w:rsidP="00414AB3">
      <w:r>
        <w:continuationSeparator/>
      </w:r>
    </w:p>
  </w:footnote>
  <w:footnote w:id="1">
    <w:p w:rsidR="00640EC9" w:rsidRPr="00F251E9" w:rsidRDefault="00640EC9" w:rsidP="00414AB3">
      <w:pPr>
        <w:pStyle w:val="FootnoteText"/>
      </w:pPr>
      <w:r w:rsidRPr="00BA0ECC">
        <w:rPr>
          <w:rStyle w:val="FootnoteReference"/>
        </w:rPr>
        <w:footnoteRef/>
      </w:r>
      <w:r w:rsidR="00BA0ECC">
        <w:tab/>
      </w:r>
      <w:r w:rsidRPr="00BA0ECC">
        <w:t>WRC-12 adopted equivalent regulatory measures in Appendix 30B.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414AB3">
    <w:pPr>
      <w:pStyle w:val="Header"/>
    </w:pPr>
    <w:r>
      <w:fldChar w:fldCharType="begin"/>
    </w:r>
    <w:r>
      <w:instrText xml:space="preserve"> PAGE  \* MERGEFORMAT </w:instrText>
    </w:r>
    <w:r>
      <w:fldChar w:fldCharType="separate"/>
    </w:r>
    <w:r w:rsidR="0039662A">
      <w:rPr>
        <w:noProof/>
      </w:rPr>
      <w:t>3</w:t>
    </w:r>
    <w:r>
      <w:fldChar w:fldCharType="end"/>
    </w:r>
  </w:p>
  <w:p w:rsidR="00A066F1" w:rsidRPr="00A066F1" w:rsidRDefault="00187BD9" w:rsidP="00414AB3">
    <w:pPr>
      <w:pStyle w:val="Header"/>
    </w:pPr>
    <w:r>
      <w:t>CMR1</w:t>
    </w:r>
    <w:r w:rsidR="00241FA2">
      <w:t>5</w:t>
    </w:r>
    <w:r w:rsidR="00A066F1">
      <w:t>/</w:t>
    </w:r>
    <w:bookmarkStart w:id="4" w:name="OLE_LINK1"/>
    <w:bookmarkStart w:id="5" w:name="OLE_LINK2"/>
    <w:bookmarkStart w:id="6" w:name="OLE_LINK3"/>
    <w:r w:rsidR="00EB55C6">
      <w:t>54</w:t>
    </w:r>
    <w:bookmarkEnd w:id="4"/>
    <w:bookmarkEnd w:id="5"/>
    <w:bookmarkEnd w:id="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C3C5D"/>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9662A"/>
    <w:rsid w:val="003A7F8C"/>
    <w:rsid w:val="003B2284"/>
    <w:rsid w:val="003B532E"/>
    <w:rsid w:val="003D0F8B"/>
    <w:rsid w:val="003E0DB6"/>
    <w:rsid w:val="0041348E"/>
    <w:rsid w:val="00414AB3"/>
    <w:rsid w:val="00420873"/>
    <w:rsid w:val="00492075"/>
    <w:rsid w:val="004969AD"/>
    <w:rsid w:val="004A26C4"/>
    <w:rsid w:val="004B13CB"/>
    <w:rsid w:val="004D26EA"/>
    <w:rsid w:val="004D2BFB"/>
    <w:rsid w:val="004D5D5C"/>
    <w:rsid w:val="0050139F"/>
    <w:rsid w:val="005317FE"/>
    <w:rsid w:val="0055140B"/>
    <w:rsid w:val="005964AB"/>
    <w:rsid w:val="005C099A"/>
    <w:rsid w:val="005C31A5"/>
    <w:rsid w:val="005E10C9"/>
    <w:rsid w:val="005E290B"/>
    <w:rsid w:val="005E61DD"/>
    <w:rsid w:val="006023DF"/>
    <w:rsid w:val="00616219"/>
    <w:rsid w:val="0063173C"/>
    <w:rsid w:val="00640EC9"/>
    <w:rsid w:val="00657DE0"/>
    <w:rsid w:val="00666FEE"/>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553A"/>
    <w:rsid w:val="008B6CFF"/>
    <w:rsid w:val="008F6FE5"/>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A0ECC"/>
    <w:rsid w:val="00BB3A95"/>
    <w:rsid w:val="00BD6CCE"/>
    <w:rsid w:val="00C0018F"/>
    <w:rsid w:val="00C16A5A"/>
    <w:rsid w:val="00C20466"/>
    <w:rsid w:val="00C214ED"/>
    <w:rsid w:val="00C234E6"/>
    <w:rsid w:val="00C324A8"/>
    <w:rsid w:val="00C54517"/>
    <w:rsid w:val="00C64CD8"/>
    <w:rsid w:val="00C809FD"/>
    <w:rsid w:val="00C97C68"/>
    <w:rsid w:val="00CA1A47"/>
    <w:rsid w:val="00CB44E5"/>
    <w:rsid w:val="00CC247A"/>
    <w:rsid w:val="00CE388F"/>
    <w:rsid w:val="00CE5E47"/>
    <w:rsid w:val="00CF020F"/>
    <w:rsid w:val="00CF2B5B"/>
    <w:rsid w:val="00CF4522"/>
    <w:rsid w:val="00D14CE0"/>
    <w:rsid w:val="00D268B3"/>
    <w:rsid w:val="00D54009"/>
    <w:rsid w:val="00D5651D"/>
    <w:rsid w:val="00D57A34"/>
    <w:rsid w:val="00D66DF3"/>
    <w:rsid w:val="00D74898"/>
    <w:rsid w:val="00D801ED"/>
    <w:rsid w:val="00D86B2C"/>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12987"/>
    <w:rsid w:val="00F26CB4"/>
    <w:rsid w:val="00F5546E"/>
    <w:rsid w:val="00F57D8F"/>
    <w:rsid w:val="00F6155B"/>
    <w:rsid w:val="00F65C19"/>
    <w:rsid w:val="00FD18DA"/>
    <w:rsid w:val="00FD2546"/>
    <w:rsid w:val="00FD772E"/>
    <w:rsid w:val="00FE78C7"/>
    <w:rsid w:val="00FF43AC"/>
    <w:rsid w:val="00FF4EE9"/>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447DD73-B229-44A8-9C1A-DFF53935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B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table" w:styleId="TableGrid">
    <w:name w:val="Table Grid"/>
    <w:basedOn w:val="TableNormal"/>
    <w:rsid w:val="00640EC9"/>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777D-3D05-4547-A9C4-632A4AD32F9D}">
  <ds:schemaRefs>
    <ds:schemaRef ds:uri="996b2e75-67fd-4955-a3b0-5ab9934cb50b"/>
    <ds:schemaRef ds:uri="http://www.w3.org/XML/1998/namespace"/>
    <ds:schemaRef ds:uri="http://purl.org/dc/terms/"/>
    <ds:schemaRef ds:uri="32a1a8c5-2265-4ebc-b7a0-2071e2c5c9bb"/>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3FE68172-5458-4BCD-B7B7-19867B4D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41</TotalTime>
  <Pages>3</Pages>
  <Words>1142</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R15-WRC15-C-0054!!MSW-E</vt:lpstr>
    </vt:vector>
  </TitlesOfParts>
  <Manager>General Secretariat - Pool</Manager>
  <Company>International Telecommunication Union (ITU)</Company>
  <LinksUpToDate>false</LinksUpToDate>
  <CharactersWithSpaces>7205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R15-WRC15-C-0054!!MSW-E</dc:title>
  <dc:subject>World Radiocommunication Conference - 2015</dc:subject>
  <dc:creator>Documents Proposals Manager (DPM)</dc:creator>
  <cp:keywords>DPM_v5.2015.9.16_prod</cp:keywords>
  <dc:description>Uploaded on 2015.07.06</dc:description>
  <cp:lastModifiedBy>Jones, Jacqueline</cp:lastModifiedBy>
  <cp:revision>10</cp:revision>
  <cp:lastPrinted>2015-10-08T12:32:00Z</cp:lastPrinted>
  <dcterms:created xsi:type="dcterms:W3CDTF">2015-10-13T07:41:00Z</dcterms:created>
  <dcterms:modified xsi:type="dcterms:W3CDTF">2015-10-14T20:09:00Z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