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tcPr>
          <w:p w:rsidR="003E1608" w:rsidRPr="00AD706D" w:rsidRDefault="00E165ED" w:rsidP="000D3392">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 xml:space="preserve">اللجنة </w:t>
            </w:r>
            <w:r w:rsidR="000D3392">
              <w:rPr>
                <w:rFonts w:ascii="Verdana Bold" w:hAnsi="Verdana Bold" w:cs="Traditional Arabic"/>
                <w:bCs/>
                <w:sz w:val="19"/>
                <w:szCs w:val="30"/>
                <w:lang w:val="en-US" w:bidi="ar-EG"/>
              </w:rPr>
              <w:t>5</w:t>
            </w:r>
          </w:p>
        </w:tc>
        <w:tc>
          <w:tcPr>
            <w:tcW w:w="3053" w:type="dxa"/>
            <w:vAlign w:val="center"/>
          </w:tcPr>
          <w:p w:rsidR="003E1608" w:rsidRPr="00BD6EF3" w:rsidRDefault="003E1608" w:rsidP="00E436D8">
            <w:pPr>
              <w:pStyle w:val="Adress"/>
              <w:framePr w:hSpace="0" w:wrap="auto" w:xAlign="left" w:yAlign="inline"/>
              <w:rPr>
                <w:rtl/>
              </w:rPr>
            </w:pPr>
            <w:r w:rsidRPr="000D3392">
              <w:rPr>
                <w:rFonts w:ascii="Times New Roman" w:eastAsia="SimSun" w:hAnsi="Times New Roman"/>
                <w:rtl/>
              </w:rPr>
              <w:t>الإضافة</w:t>
            </w:r>
            <w:r w:rsidR="00F81056">
              <w:rPr>
                <w:rFonts w:ascii="Times New Roman" w:eastAsia="SimSun" w:hAnsi="Times New Roman" w:hint="cs"/>
                <w:rtl/>
              </w:rPr>
              <w:t xml:space="preserve"> </w:t>
            </w:r>
            <w:r>
              <w:t>2</w:t>
            </w:r>
            <w:r>
              <w:br/>
            </w:r>
            <w:r w:rsidRPr="000D3392">
              <w:rPr>
                <w:rFonts w:ascii="Times New Roman" w:eastAsia="SimSun" w:hAnsi="Times New Roman"/>
                <w:rtl/>
              </w:rPr>
              <w:t>للوثيقة</w:t>
            </w:r>
            <w:r w:rsidR="00E436D8">
              <w:rPr>
                <w:rFonts w:ascii="Times New Roman" w:eastAsia="SimSun" w:hAnsi="Times New Roman" w:hint="cs"/>
                <w:rtl/>
              </w:rPr>
              <w:t xml:space="preserve"> </w:t>
            </w:r>
            <w:r>
              <w:t>58(Add.23)-</w:t>
            </w:r>
            <w:r w:rsidR="000D3392" w:rsidRPr="000D3392">
              <w:t>A</w:t>
            </w:r>
          </w:p>
        </w:tc>
      </w:tr>
      <w:tr w:rsidR="00764079" w:rsidTr="003E1608">
        <w:trPr>
          <w:cantSplit/>
        </w:trPr>
        <w:tc>
          <w:tcPr>
            <w:tcW w:w="6619" w:type="dxa"/>
          </w:tcPr>
          <w:p w:rsidR="00764079" w:rsidRPr="00BD6EF3" w:rsidRDefault="00764079" w:rsidP="00D44350">
            <w:pPr>
              <w:pStyle w:val="Adress"/>
              <w:framePr w:hSpace="0" w:wrap="auto" w:xAlign="left" w:yAlign="inline"/>
              <w:rPr>
                <w:rtl/>
              </w:rPr>
            </w:pPr>
          </w:p>
        </w:tc>
        <w:tc>
          <w:tcPr>
            <w:tcW w:w="3053" w:type="dxa"/>
            <w:vAlign w:val="center"/>
          </w:tcPr>
          <w:p w:rsidR="00764079" w:rsidRPr="00BD6EF3" w:rsidRDefault="00764079" w:rsidP="00D44350">
            <w:pPr>
              <w:pStyle w:val="Adress"/>
              <w:framePr w:hSpace="0" w:wrap="auto" w:xAlign="left" w:yAlign="inline"/>
              <w:rPr>
                <w:rtl/>
              </w:rPr>
            </w:pPr>
            <w:r w:rsidRPr="000D3392">
              <w:t>10</w:t>
            </w:r>
            <w:r>
              <w:rPr>
                <w:rFonts w:ascii="Times New Roman" w:eastAsia="SimSun" w:hAnsi="Times New Roman"/>
                <w:rtl/>
              </w:rPr>
              <w:t xml:space="preserve"> نوفمبر </w:t>
            </w:r>
            <w:r w:rsidRPr="000D3392">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BD6EF3" w:rsidRDefault="00764079" w:rsidP="00D44350">
            <w:pPr>
              <w:pStyle w:val="Adress"/>
              <w:framePr w:hSpace="0" w:wrap="auto" w:xAlign="left" w:yAlign="inline"/>
              <w:rPr>
                <w:rFonts w:eastAsia="SimSun" w:hint="eastAsia"/>
              </w:rPr>
            </w:pPr>
            <w:r w:rsidRPr="008204AC">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إندونيسيا</w:t>
            </w:r>
          </w:p>
        </w:tc>
      </w:tr>
      <w:tr w:rsidR="00764079" w:rsidTr="003E1608">
        <w:trPr>
          <w:cantSplit/>
        </w:trPr>
        <w:tc>
          <w:tcPr>
            <w:tcW w:w="9672" w:type="dxa"/>
            <w:gridSpan w:val="2"/>
          </w:tcPr>
          <w:p w:rsidR="00764079" w:rsidRPr="00BD6EF3" w:rsidRDefault="000D3392" w:rsidP="00D44350">
            <w:pPr>
              <w:pStyle w:val="Title1"/>
              <w:spacing w:before="240"/>
              <w:rPr>
                <w:rtl/>
              </w:rPr>
            </w:pPr>
            <w:r>
              <w:rPr>
                <w:rFonts w:hint="cs"/>
                <w:rtl/>
              </w:rPr>
              <w:t>مقترحات بشأن أعمال ال</w:t>
            </w:r>
            <w:r w:rsidR="00506B5C">
              <w:rPr>
                <w:rFonts w:hint="cs"/>
                <w:rtl/>
              </w:rPr>
              <w:t>‍</w:t>
            </w:r>
            <w:r>
              <w:rPr>
                <w:rFonts w:hint="cs"/>
                <w:rtl/>
              </w:rPr>
              <w:t>مؤت</w:t>
            </w:r>
            <w:r w:rsidR="00506B5C">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D3392">
            <w:pPr>
              <w:pStyle w:val="Agendaitem"/>
              <w:spacing w:before="240" w:line="192" w:lineRule="auto"/>
            </w:pPr>
            <w:r w:rsidRPr="008204AC">
              <w:rPr>
                <w:rtl/>
              </w:rPr>
              <w:t xml:space="preserve">البنـد </w:t>
            </w:r>
            <w:r w:rsidR="000D3392">
              <w:t>2.9</w:t>
            </w:r>
            <w:r w:rsidRPr="008204AC">
              <w:rPr>
                <w:rtl/>
              </w:rPr>
              <w:t xml:space="preserve"> من جدول الأعمال</w:t>
            </w:r>
          </w:p>
        </w:tc>
      </w:tr>
    </w:tbl>
    <w:p w:rsidR="00534840" w:rsidRPr="00431196" w:rsidRDefault="00A7771E" w:rsidP="00BF0751">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Default="00A7771E" w:rsidP="00431196">
      <w:pPr>
        <w:rPr>
          <w:rFonts w:eastAsia="SimSun"/>
          <w:rtl/>
        </w:rPr>
      </w:pPr>
      <w:r w:rsidRPr="00431196">
        <w:rPr>
          <w:rFonts w:eastAsia="SimSun"/>
        </w:rPr>
        <w:t>2.9</w:t>
      </w:r>
      <w:r w:rsidRPr="00431196">
        <w:rPr>
          <w:rFonts w:eastAsia="SimSun" w:hint="cs"/>
          <w:rtl/>
        </w:rPr>
        <w:tab/>
        <w:t>بشأن أي صعوبات أو حالات تضارب ووجهت في تطبيق لوائح الراديو؛</w:t>
      </w:r>
    </w:p>
    <w:p w:rsidR="00744F61" w:rsidRDefault="00744F61" w:rsidP="00431196">
      <w:pPr>
        <w:rPr>
          <w:rFonts w:eastAsia="SimSun"/>
          <w:rtl/>
        </w:rPr>
      </w:pPr>
    </w:p>
    <w:p w:rsidR="000D3392" w:rsidRDefault="000D3392" w:rsidP="00BF0751">
      <w:pPr>
        <w:pStyle w:val="Headingb"/>
        <w:rPr>
          <w:rFonts w:eastAsia="SimSun"/>
          <w:rtl/>
        </w:rPr>
      </w:pPr>
      <w:r>
        <w:rPr>
          <w:rFonts w:eastAsia="SimSun" w:hint="cs"/>
          <w:rtl/>
        </w:rPr>
        <w:t>معلومات أساسية</w:t>
      </w:r>
    </w:p>
    <w:p w:rsidR="00A259DF" w:rsidRDefault="00B50CD6" w:rsidP="001F6817">
      <w:pPr>
        <w:rPr>
          <w:rFonts w:eastAsia="SimSun"/>
          <w:rtl/>
        </w:rPr>
      </w:pPr>
      <w:r>
        <w:rPr>
          <w:rFonts w:eastAsia="SimSun" w:hint="cs"/>
          <w:rtl/>
        </w:rPr>
        <w:t xml:space="preserve">نظرت إدارة إندونيسيا في تقرير مدير مكتب الاتصالات الراديوية وتقترح أن ينظر المؤتمر في </w:t>
      </w:r>
      <w:r w:rsidR="00A259DF">
        <w:rPr>
          <w:color w:val="000000"/>
          <w:rtl/>
        </w:rPr>
        <w:t>التبليغ عن محطات أرضية نموذجية في</w:t>
      </w:r>
      <w:r w:rsidR="00F648A5">
        <w:rPr>
          <w:rFonts w:hint="cs"/>
          <w:color w:val="000000"/>
          <w:rtl/>
        </w:rPr>
        <w:t> </w:t>
      </w:r>
      <w:r w:rsidR="00A259DF">
        <w:rPr>
          <w:color w:val="000000"/>
          <w:rtl/>
        </w:rPr>
        <w:t>الخدمة الثابتة الساتلية</w:t>
      </w:r>
      <w:r w:rsidR="00A259DF">
        <w:rPr>
          <w:rFonts w:hint="cs"/>
          <w:color w:val="000000"/>
          <w:rtl/>
        </w:rPr>
        <w:t xml:space="preserve"> </w:t>
      </w:r>
      <w:r w:rsidR="001F6817" w:rsidRPr="001F6817">
        <w:rPr>
          <w:color w:val="000000"/>
          <w:lang w:val="en-GB"/>
        </w:rPr>
        <w:t>(FSS)</w:t>
      </w:r>
      <w:r w:rsidR="00A259DF">
        <w:rPr>
          <w:rFonts w:eastAsia="SimSun" w:hint="cs"/>
          <w:rtl/>
        </w:rPr>
        <w:t>.</w:t>
      </w:r>
    </w:p>
    <w:p w:rsidR="00164F35" w:rsidRPr="00B50CD6" w:rsidRDefault="00B50CD6" w:rsidP="00987CC8">
      <w:pPr>
        <w:rPr>
          <w:color w:val="000000"/>
          <w:rtl/>
        </w:rPr>
      </w:pPr>
      <w:r>
        <w:rPr>
          <w:rFonts w:eastAsia="SimSun" w:hint="cs"/>
          <w:rtl/>
        </w:rPr>
        <w:t>تبين</w:t>
      </w:r>
      <w:r w:rsidR="00865C09">
        <w:rPr>
          <w:rFonts w:eastAsia="SimSun" w:hint="cs"/>
          <w:rtl/>
        </w:rPr>
        <w:t xml:space="preserve"> الفقرة </w:t>
      </w:r>
      <w:r w:rsidR="00865C09">
        <w:rPr>
          <w:rFonts w:eastAsia="SimSun"/>
        </w:rPr>
        <w:t>8.3.2.3</w:t>
      </w:r>
      <w:r w:rsidR="00865C09">
        <w:rPr>
          <w:rFonts w:eastAsia="SimSun" w:hint="cs"/>
          <w:rtl/>
        </w:rPr>
        <w:t xml:space="preserve"> من تقرير مدير مكتب الاتصالات الراديوية </w:t>
      </w:r>
      <w:r w:rsidR="00865C09">
        <w:t>(CMR15/4(Add.2)(Rev.1))</w:t>
      </w:r>
      <w:r w:rsidR="001262FB">
        <w:rPr>
          <w:rFonts w:eastAsia="SimSun" w:hint="cs"/>
          <w:rtl/>
        </w:rPr>
        <w:t xml:space="preserve"> </w:t>
      </w:r>
      <w:r>
        <w:rPr>
          <w:rFonts w:eastAsia="SimSun" w:hint="cs"/>
          <w:rtl/>
        </w:rPr>
        <w:t>بأن المؤتمر</w:t>
      </w:r>
      <w:r w:rsidR="001262FB">
        <w:rPr>
          <w:rFonts w:eastAsia="SimSun" w:hint="cs"/>
          <w:rtl/>
        </w:rPr>
        <w:t xml:space="preserve"> </w:t>
      </w:r>
      <w:r w:rsidR="001262FB">
        <w:rPr>
          <w:color w:val="000000"/>
          <w:rtl/>
        </w:rPr>
        <w:t>قد يرغب</w:t>
      </w:r>
      <w:r>
        <w:rPr>
          <w:color w:val="000000"/>
          <w:rtl/>
        </w:rPr>
        <w:t xml:space="preserve"> في تناول </w:t>
      </w:r>
      <w:r w:rsidR="001262FB">
        <w:rPr>
          <w:color w:val="000000"/>
          <w:rtl/>
        </w:rPr>
        <w:t xml:space="preserve">مسألة </w:t>
      </w:r>
      <w:r>
        <w:rPr>
          <w:color w:val="000000"/>
          <w:rtl/>
        </w:rPr>
        <w:t>التبليغ عن محطات أرضية نموذجية في الخدمة الثابتة الساتلية</w:t>
      </w:r>
      <w:r>
        <w:rPr>
          <w:rFonts w:hint="cs"/>
          <w:color w:val="000000"/>
          <w:rtl/>
        </w:rPr>
        <w:t xml:space="preserve"> </w:t>
      </w:r>
      <w:r>
        <w:rPr>
          <w:color w:val="000000"/>
        </w:rPr>
        <w:t>(FSS)</w:t>
      </w:r>
      <w:r>
        <w:rPr>
          <w:rFonts w:hint="cs"/>
          <w:color w:val="000000"/>
          <w:rtl/>
        </w:rPr>
        <w:t xml:space="preserve"> </w:t>
      </w:r>
      <w:r w:rsidR="001262FB">
        <w:rPr>
          <w:color w:val="000000"/>
          <w:rtl/>
        </w:rPr>
        <w:t>بشكل أعمق</w:t>
      </w:r>
      <w:r>
        <w:rPr>
          <w:rFonts w:hint="cs"/>
          <w:color w:val="000000"/>
          <w:rtl/>
        </w:rPr>
        <w:t>. ويشير التقرير إلى</w:t>
      </w:r>
      <w:r w:rsidR="00164F35">
        <w:rPr>
          <w:rFonts w:hint="cs"/>
          <w:color w:val="000000"/>
          <w:rtl/>
        </w:rPr>
        <w:t xml:space="preserve"> </w:t>
      </w:r>
      <w:r>
        <w:rPr>
          <w:rFonts w:hint="cs"/>
          <w:color w:val="000000"/>
          <w:rtl/>
        </w:rPr>
        <w:t xml:space="preserve">أن </w:t>
      </w:r>
      <w:r w:rsidR="00164F35">
        <w:rPr>
          <w:color w:val="000000"/>
          <w:rtl/>
        </w:rPr>
        <w:t xml:space="preserve">مفهوم المحطة الأرضية النموذجية في الخدمة الثابتة الساتلية </w:t>
      </w:r>
      <w:r>
        <w:rPr>
          <w:rFonts w:hint="cs"/>
          <w:color w:val="000000"/>
          <w:rtl/>
        </w:rPr>
        <w:t xml:space="preserve">لم يعرّف </w:t>
      </w:r>
      <w:r w:rsidR="00164F35">
        <w:rPr>
          <w:color w:val="000000"/>
          <w:rtl/>
        </w:rPr>
        <w:t>في لوائح الراديو ولكنه يستعمل على نطاق واسع ويشار إليه في المادتين</w:t>
      </w:r>
      <w:r w:rsidR="00987CC8">
        <w:rPr>
          <w:rFonts w:hint="cs"/>
          <w:color w:val="000000"/>
          <w:rtl/>
        </w:rPr>
        <w:t> </w:t>
      </w:r>
      <w:r w:rsidR="00164F35">
        <w:rPr>
          <w:color w:val="000000"/>
        </w:rPr>
        <w:t>9</w:t>
      </w:r>
      <w:r w:rsidR="00164F35">
        <w:rPr>
          <w:color w:val="000000"/>
          <w:rtl/>
        </w:rPr>
        <w:t xml:space="preserve"> و</w:t>
      </w:r>
      <w:r w:rsidR="00164F35">
        <w:rPr>
          <w:color w:val="000000"/>
        </w:rPr>
        <w:t>11</w:t>
      </w:r>
      <w:r>
        <w:rPr>
          <w:color w:val="000000"/>
          <w:rtl/>
        </w:rPr>
        <w:t xml:space="preserve"> من</w:t>
      </w:r>
      <w:r w:rsidR="00F648A5">
        <w:rPr>
          <w:rFonts w:hint="cs"/>
          <w:color w:val="000000"/>
          <w:rtl/>
        </w:rPr>
        <w:t> </w:t>
      </w:r>
      <w:r>
        <w:rPr>
          <w:color w:val="000000"/>
          <w:rtl/>
        </w:rPr>
        <w:t>لوائح الراديو</w:t>
      </w:r>
      <w:r w:rsidR="00987CC8">
        <w:rPr>
          <w:rFonts w:hint="eastAsia"/>
          <w:color w:val="000000"/>
          <w:rtl/>
          <w:lang w:bidi="ar-EG"/>
        </w:rPr>
        <w:t> </w:t>
      </w:r>
      <w:r w:rsidR="00941971">
        <w:t>(RR)</w:t>
      </w:r>
      <w:r>
        <w:rPr>
          <w:rFonts w:hint="cs"/>
          <w:color w:val="000000"/>
          <w:rtl/>
        </w:rPr>
        <w:t>، وإلى أنه</w:t>
      </w:r>
      <w:r>
        <w:rPr>
          <w:color w:val="000000"/>
          <w:rtl/>
        </w:rPr>
        <w:t xml:space="preserve"> </w:t>
      </w:r>
      <w:r w:rsidR="00164F35">
        <w:rPr>
          <w:color w:val="000000"/>
          <w:rtl/>
        </w:rPr>
        <w:t xml:space="preserve">انطلاقاً من الرقم </w:t>
      </w:r>
      <w:r w:rsidR="00164F35">
        <w:rPr>
          <w:color w:val="000000"/>
        </w:rPr>
        <w:t>17.11</w:t>
      </w:r>
      <w:r w:rsidR="00164F35">
        <w:rPr>
          <w:color w:val="000000"/>
          <w:rtl/>
        </w:rPr>
        <w:t>، يمكن أن يُفهم كأداة إدار</w:t>
      </w:r>
      <w:r>
        <w:rPr>
          <w:color w:val="000000"/>
          <w:rtl/>
        </w:rPr>
        <w:t xml:space="preserve">ية يمكن من خلالها تبليغ المكتب </w:t>
      </w:r>
      <w:r>
        <w:rPr>
          <w:rFonts w:hint="cs"/>
          <w:color w:val="000000"/>
          <w:rtl/>
        </w:rPr>
        <w:t xml:space="preserve">عن </w:t>
      </w:r>
      <w:r w:rsidR="00164F35">
        <w:rPr>
          <w:color w:val="000000"/>
          <w:rtl/>
        </w:rPr>
        <w:t xml:space="preserve">عدد من المحطات الأرضية </w:t>
      </w:r>
      <w:r>
        <w:rPr>
          <w:rFonts w:hint="cs"/>
          <w:color w:val="000000"/>
          <w:rtl/>
        </w:rPr>
        <w:t>(</w:t>
      </w:r>
      <w:r w:rsidR="00164F35">
        <w:rPr>
          <w:color w:val="000000"/>
          <w:rtl/>
        </w:rPr>
        <w:t>ذات خصائص الموقع المحددة</w:t>
      </w:r>
      <w:r w:rsidR="002668A1">
        <w:rPr>
          <w:rFonts w:hint="cs"/>
          <w:color w:val="000000"/>
          <w:rtl/>
        </w:rPr>
        <w:t xml:space="preserve"> فقط)</w:t>
      </w:r>
      <w:r w:rsidR="00164F35">
        <w:rPr>
          <w:color w:val="000000"/>
          <w:rtl/>
        </w:rPr>
        <w:t xml:space="preserve"> بموجب المادة </w:t>
      </w:r>
      <w:r w:rsidR="00D03CD5">
        <w:rPr>
          <w:color w:val="000000"/>
        </w:rPr>
        <w:t>11</w:t>
      </w:r>
      <w:r w:rsidR="00164F35">
        <w:rPr>
          <w:color w:val="000000"/>
          <w:rtl/>
        </w:rPr>
        <w:t xml:space="preserve"> وذلك في شكل تبليغ واحد </w:t>
      </w:r>
      <w:r w:rsidR="007F5515">
        <w:rPr>
          <w:rFonts w:hint="cs"/>
          <w:color w:val="000000"/>
          <w:rtl/>
        </w:rPr>
        <w:t>(</w:t>
      </w:r>
      <w:r w:rsidR="00164F35">
        <w:rPr>
          <w:color w:val="000000"/>
          <w:rtl/>
        </w:rPr>
        <w:t>بدلاً من عدد من التبليغات</w:t>
      </w:r>
      <w:r w:rsidR="007F5515">
        <w:rPr>
          <w:rFonts w:hint="cs"/>
          <w:color w:val="000000"/>
          <w:rtl/>
        </w:rPr>
        <w:t>)</w:t>
      </w:r>
      <w:r w:rsidR="00164F35">
        <w:rPr>
          <w:color w:val="000000"/>
        </w:rPr>
        <w:t>.</w:t>
      </w:r>
    </w:p>
    <w:p w:rsidR="00526B8B" w:rsidRDefault="002668A1" w:rsidP="00F648A5">
      <w:pPr>
        <w:rPr>
          <w:rFonts w:eastAsia="SimSun"/>
          <w:rtl/>
          <w:lang w:bidi="ar-EG"/>
        </w:rPr>
      </w:pPr>
      <w:r>
        <w:rPr>
          <w:rFonts w:eastAsia="SimSun" w:hint="cs"/>
          <w:rtl/>
        </w:rPr>
        <w:t>ومع أنه يمكن تنسيق المحطات الأرضية الإفرادية والتبليغ عنها للاتحاد الدولي للاتصالات، فإن مفهوم "المحطات الأرضية النموذجية" قد وضع واستخدم بشكل مكثف خلال تنسيق الشبكات الساتلية، لا سيما في تطبيقات الخدمة الثابتة الساتلية. ومع ذلك لا</w:t>
      </w:r>
      <w:r w:rsidR="00F648A5">
        <w:rPr>
          <w:rFonts w:eastAsia="SimSun" w:hint="eastAsia"/>
          <w:rtl/>
        </w:rPr>
        <w:t> </w:t>
      </w:r>
      <w:r>
        <w:rPr>
          <w:rFonts w:eastAsia="SimSun" w:hint="cs"/>
          <w:rtl/>
        </w:rPr>
        <w:t xml:space="preserve">يسمح الرقم </w:t>
      </w:r>
      <w:r w:rsidR="00F648A5">
        <w:rPr>
          <w:rFonts w:eastAsia="SimSun"/>
        </w:rPr>
        <w:t>17</w:t>
      </w:r>
      <w:r>
        <w:rPr>
          <w:rFonts w:eastAsia="SimSun"/>
        </w:rPr>
        <w:t>.11</w:t>
      </w:r>
      <w:r>
        <w:rPr>
          <w:rFonts w:eastAsia="SimSun" w:hint="cs"/>
          <w:rtl/>
          <w:lang w:bidi="ar-EG"/>
        </w:rPr>
        <w:t xml:space="preserve"> بالتبليغ عن هذه المحطات الأرضية النموذجية.</w:t>
      </w:r>
    </w:p>
    <w:p w:rsidR="00526B8B" w:rsidRDefault="002668A1" w:rsidP="001F6817">
      <w:pPr>
        <w:rPr>
          <w:rFonts w:eastAsia="SimSun"/>
          <w:rtl/>
        </w:rPr>
      </w:pPr>
      <w:r>
        <w:rPr>
          <w:rFonts w:eastAsia="SimSun" w:hint="cs"/>
          <w:rtl/>
        </w:rPr>
        <w:lastRenderedPageBreak/>
        <w:t>وقد أشير في</w:t>
      </w:r>
      <w:r w:rsidR="00526B8B">
        <w:rPr>
          <w:rFonts w:eastAsia="SimSun" w:hint="cs"/>
          <w:rtl/>
        </w:rPr>
        <w:t xml:space="preserve"> الوثيقة </w:t>
      </w:r>
      <w:r w:rsidR="00526B8B" w:rsidRPr="00F96688">
        <w:t>CMR15/4(Add.2)(Rev.1)(Add.1)</w:t>
      </w:r>
      <w:r w:rsidR="001F6817">
        <w:rPr>
          <w:rFonts w:hint="cs"/>
          <w:rtl/>
        </w:rPr>
        <w:t>،</w:t>
      </w:r>
      <w:r>
        <w:rPr>
          <w:rFonts w:eastAsia="SimSun" w:hint="cs"/>
          <w:rtl/>
        </w:rPr>
        <w:t xml:space="preserve"> عن بعض المقترحات بشأن</w:t>
      </w:r>
      <w:r w:rsidR="00526B8B">
        <w:rPr>
          <w:rFonts w:eastAsia="SimSun" w:hint="cs"/>
          <w:rtl/>
        </w:rPr>
        <w:t xml:space="preserve"> </w:t>
      </w:r>
      <w:r w:rsidR="00526B8B">
        <w:rPr>
          <w:color w:val="000000"/>
          <w:rtl/>
        </w:rPr>
        <w:t xml:space="preserve">المعلومات التي يمكن أن تكون مطلوبة </w:t>
      </w:r>
      <w:r>
        <w:rPr>
          <w:rFonts w:hint="cs"/>
          <w:color w:val="000000"/>
          <w:rtl/>
        </w:rPr>
        <w:t xml:space="preserve">للتبليغ عن المحطات الأرضية النموذجية في الخدمة الثابتة الساتلية وتسجيلها </w:t>
      </w:r>
      <w:r w:rsidR="00526B8B">
        <w:rPr>
          <w:color w:val="000000"/>
          <w:rtl/>
        </w:rPr>
        <w:t>(معلومات التذييل</w:t>
      </w:r>
      <w:r w:rsidR="001F6817">
        <w:rPr>
          <w:rFonts w:hint="cs"/>
          <w:color w:val="000000"/>
          <w:rtl/>
        </w:rPr>
        <w:t> </w:t>
      </w:r>
      <w:r w:rsidR="00526B8B">
        <w:rPr>
          <w:color w:val="000000"/>
        </w:rPr>
        <w:t>4</w:t>
      </w:r>
      <w:r w:rsidR="00526B8B">
        <w:rPr>
          <w:color w:val="000000"/>
          <w:rtl/>
        </w:rPr>
        <w:t xml:space="preserve"> للمحطة الأرضية النم</w:t>
      </w:r>
      <w:r>
        <w:rPr>
          <w:rFonts w:hint="cs"/>
          <w:color w:val="000000"/>
          <w:rtl/>
        </w:rPr>
        <w:t>وذجية</w:t>
      </w:r>
      <w:r w:rsidR="00526B8B">
        <w:rPr>
          <w:color w:val="000000"/>
          <w:rtl/>
        </w:rPr>
        <w:t>، بما</w:t>
      </w:r>
      <w:r w:rsidR="00F648A5">
        <w:rPr>
          <w:rFonts w:hint="cs"/>
          <w:color w:val="000000"/>
          <w:rtl/>
        </w:rPr>
        <w:t> </w:t>
      </w:r>
      <w:r w:rsidR="00526B8B">
        <w:rPr>
          <w:color w:val="000000"/>
          <w:rtl/>
        </w:rPr>
        <w:t>فيها منطقة الخدمة (انظر التذييل</w:t>
      </w:r>
      <w:r w:rsidR="001F6817">
        <w:rPr>
          <w:rFonts w:hint="cs"/>
          <w:color w:val="000000"/>
          <w:rtl/>
        </w:rPr>
        <w:t> </w:t>
      </w:r>
      <w:r w:rsidR="00526B8B">
        <w:rPr>
          <w:color w:val="000000"/>
        </w:rPr>
        <w:t>4</w:t>
      </w:r>
      <w:r w:rsidR="00526B8B">
        <w:rPr>
          <w:color w:val="000000"/>
          <w:rtl/>
        </w:rPr>
        <w:t>، البند</w:t>
      </w:r>
      <w:bookmarkStart w:id="1" w:name="_GoBack"/>
      <w:bookmarkEnd w:id="1"/>
      <w:r w:rsidR="00526B8B">
        <w:rPr>
          <w:rFonts w:hint="cs"/>
          <w:color w:val="000000"/>
          <w:rtl/>
        </w:rPr>
        <w:t xml:space="preserve"> </w:t>
      </w:r>
      <w:r w:rsidR="00130CF1">
        <w:rPr>
          <w:color w:val="000000"/>
        </w:rPr>
        <w:t>.10.C</w:t>
      </w:r>
      <w:r w:rsidR="00130CF1">
        <w:rPr>
          <w:rFonts w:hint="cs"/>
          <w:color w:val="000000"/>
          <w:rtl/>
        </w:rPr>
        <w:t>د</w:t>
      </w:r>
      <w:r w:rsidR="00526B8B">
        <w:rPr>
          <w:color w:val="000000"/>
          <w:rtl/>
        </w:rPr>
        <w:t>) وعدد المحطات المشغلة أو المزمع تشغيلها وكذلك المحطة الفضائية المرتبطة</w:t>
      </w:r>
      <w:r w:rsidR="00F648A5">
        <w:rPr>
          <w:rFonts w:hint="cs"/>
          <w:color w:val="000000"/>
          <w:rtl/>
        </w:rPr>
        <w:t> </w:t>
      </w:r>
      <w:r w:rsidR="00526B8B">
        <w:rPr>
          <w:color w:val="000000"/>
          <w:rtl/>
        </w:rPr>
        <w:t>بها</w:t>
      </w:r>
      <w:r w:rsidR="009C2206">
        <w:rPr>
          <w:rFonts w:eastAsia="SimSun" w:hint="cs"/>
          <w:rtl/>
        </w:rPr>
        <w:t>).</w:t>
      </w:r>
    </w:p>
    <w:p w:rsidR="00F54F05" w:rsidRDefault="002668A1" w:rsidP="00607CA5">
      <w:pPr>
        <w:rPr>
          <w:rFonts w:eastAsia="SimSun"/>
          <w:rtl/>
          <w:lang w:bidi="ar-EG"/>
        </w:rPr>
      </w:pPr>
      <w:r>
        <w:rPr>
          <w:rFonts w:eastAsia="SimSun" w:hint="cs"/>
          <w:rtl/>
        </w:rPr>
        <w:t xml:space="preserve">ويوجد في إندونيسيا نحو </w:t>
      </w:r>
      <w:r>
        <w:rPr>
          <w:rFonts w:eastAsia="SimSun"/>
        </w:rPr>
        <w:t>700</w:t>
      </w:r>
      <w:r w:rsidR="00941971">
        <w:rPr>
          <w:rFonts w:eastAsia="SimSun"/>
        </w:rPr>
        <w:t> </w:t>
      </w:r>
      <w:r>
        <w:rPr>
          <w:rFonts w:eastAsia="SimSun"/>
        </w:rPr>
        <w:t>000</w:t>
      </w:r>
      <w:r>
        <w:rPr>
          <w:rFonts w:eastAsia="SimSun" w:hint="cs"/>
          <w:rtl/>
          <w:lang w:bidi="ar-EG"/>
        </w:rPr>
        <w:t xml:space="preserve"> من </w:t>
      </w:r>
      <w:r>
        <w:rPr>
          <w:color w:val="000000"/>
          <w:rtl/>
        </w:rPr>
        <w:t>هوائيات الاستقبال التلفزيوني فقط</w:t>
      </w:r>
      <w:r w:rsidR="001F6817">
        <w:rPr>
          <w:rFonts w:hint="cs"/>
          <w:color w:val="000000"/>
          <w:rtl/>
        </w:rPr>
        <w:t xml:space="preserve"> </w:t>
      </w:r>
      <w:r>
        <w:rPr>
          <w:color w:val="000000"/>
        </w:rPr>
        <w:t>(TVRO)</w:t>
      </w:r>
      <w:r w:rsidR="001F6817">
        <w:rPr>
          <w:rFonts w:hint="cs"/>
          <w:color w:val="000000"/>
          <w:rtl/>
        </w:rPr>
        <w:t xml:space="preserve"> </w:t>
      </w:r>
      <w:r>
        <w:rPr>
          <w:color w:val="000000"/>
          <w:rtl/>
        </w:rPr>
        <w:t>والمطاريف ذات الفتحة الصغيرة جداً</w:t>
      </w:r>
      <w:r w:rsidR="00607CA5">
        <w:rPr>
          <w:rFonts w:hint="eastAsia"/>
          <w:color w:val="000000"/>
          <w:rtl/>
        </w:rPr>
        <w:t> </w:t>
      </w:r>
      <w:r>
        <w:rPr>
          <w:color w:val="000000"/>
        </w:rPr>
        <w:t>(VSAT)</w:t>
      </w:r>
      <w:r>
        <w:rPr>
          <w:rFonts w:hint="cs"/>
          <w:color w:val="000000"/>
          <w:rtl/>
          <w:lang w:bidi="ar-EG"/>
        </w:rPr>
        <w:t xml:space="preserve"> </w:t>
      </w:r>
      <w:r w:rsidR="00447ED4">
        <w:rPr>
          <w:rFonts w:hint="cs"/>
          <w:color w:val="000000"/>
          <w:rtl/>
          <w:lang w:bidi="ar-EG"/>
        </w:rPr>
        <w:t>العاملة</w:t>
      </w:r>
      <w:r>
        <w:rPr>
          <w:rFonts w:hint="cs"/>
          <w:color w:val="000000"/>
          <w:rtl/>
          <w:lang w:bidi="ar-EG"/>
        </w:rPr>
        <w:t xml:space="preserve"> في النطاق </w:t>
      </w:r>
      <w:r>
        <w:rPr>
          <w:color w:val="000000"/>
          <w:lang w:bidi="ar-EG"/>
        </w:rPr>
        <w:t>MHz</w:t>
      </w:r>
      <w:r w:rsidR="001F6817">
        <w:rPr>
          <w:color w:val="000000"/>
          <w:lang w:bidi="ar-EG"/>
        </w:rPr>
        <w:t> </w:t>
      </w:r>
      <w:r w:rsidR="00447ED4">
        <w:rPr>
          <w:color w:val="000000"/>
          <w:lang w:bidi="ar-EG"/>
        </w:rPr>
        <w:t>4</w:t>
      </w:r>
      <w:r w:rsidR="001F6817">
        <w:rPr>
          <w:color w:val="000000"/>
          <w:lang w:bidi="ar-EG"/>
        </w:rPr>
        <w:t> </w:t>
      </w:r>
      <w:r w:rsidR="00447ED4">
        <w:rPr>
          <w:color w:val="000000"/>
          <w:lang w:bidi="ar-EG"/>
        </w:rPr>
        <w:t>200-3</w:t>
      </w:r>
      <w:r w:rsidR="001F6817">
        <w:rPr>
          <w:color w:val="000000"/>
          <w:lang w:bidi="ar-EG"/>
        </w:rPr>
        <w:t> </w:t>
      </w:r>
      <w:r w:rsidR="00447ED4">
        <w:rPr>
          <w:color w:val="000000"/>
          <w:lang w:bidi="ar-EG"/>
        </w:rPr>
        <w:t>400</w:t>
      </w:r>
      <w:r w:rsidR="00447ED4">
        <w:rPr>
          <w:rFonts w:hint="cs"/>
          <w:color w:val="000000"/>
          <w:rtl/>
          <w:lang w:bidi="ar-EG"/>
        </w:rPr>
        <w:t xml:space="preserve"> والمنتشرة فوق أراضي إندونيسيا، وتعتبر إدارة إندونيسيا أنه ينبغي قبول التبليغ عن المحطات الأرضية المحددة والنموذجية التي تم تنسيقها، والحصول على اعتراف دولي بها.</w:t>
      </w:r>
    </w:p>
    <w:p w:rsidR="00F54F05" w:rsidRDefault="00F54F05" w:rsidP="00BF0751">
      <w:pPr>
        <w:pStyle w:val="Headingb"/>
        <w:rPr>
          <w:rFonts w:eastAsia="SimSun"/>
          <w:rtl/>
        </w:rPr>
      </w:pPr>
      <w:r w:rsidRPr="00F54F05">
        <w:rPr>
          <w:rFonts w:eastAsia="SimSun" w:hint="cs"/>
          <w:rtl/>
        </w:rPr>
        <w:t>المقترح</w:t>
      </w:r>
    </w:p>
    <w:p w:rsidR="00F54F05" w:rsidRDefault="00447ED4" w:rsidP="00941971">
      <w:pPr>
        <w:rPr>
          <w:rFonts w:eastAsia="SimSun"/>
          <w:rtl/>
          <w:lang w:bidi="ar-EG"/>
        </w:rPr>
      </w:pPr>
      <w:r w:rsidRPr="00941971">
        <w:rPr>
          <w:rFonts w:eastAsia="SimSun" w:hint="cs"/>
          <w:spacing w:val="6"/>
          <w:rtl/>
        </w:rPr>
        <w:t xml:space="preserve">لذلك تطلب إدارة إندونيسيا من المؤتمر العالمي للاتصالات الراديوية لعام </w:t>
      </w:r>
      <w:r w:rsidRPr="00941971">
        <w:rPr>
          <w:rFonts w:eastAsia="SimSun"/>
          <w:spacing w:val="6"/>
        </w:rPr>
        <w:t>2015</w:t>
      </w:r>
      <w:r w:rsidRPr="00941971">
        <w:rPr>
          <w:rFonts w:eastAsia="SimSun" w:hint="cs"/>
          <w:spacing w:val="6"/>
          <w:rtl/>
          <w:lang w:bidi="ar-EG"/>
        </w:rPr>
        <w:t xml:space="preserve"> مواصلة بحث هذه المسألة بغية تحديد كيفية التعامل مع الاعتراف الدولي بالمحطات الأرضية النموذجية في الخدمة الثابتة الساتلية، مع مراعاة المقترح المدرج في تقرير مدير المكتب</w:t>
      </w:r>
      <w:r w:rsidR="00941971">
        <w:rPr>
          <w:rFonts w:eastAsia="SimSun" w:hint="eastAsia"/>
          <w:spacing w:val="6"/>
          <w:rtl/>
          <w:lang w:bidi="ar-EG"/>
        </w:rPr>
        <w:t> </w:t>
      </w:r>
      <w:r w:rsidRPr="00941971">
        <w:rPr>
          <w:spacing w:val="6"/>
        </w:rPr>
        <w:t>(</w:t>
      </w:r>
      <w:r w:rsidRPr="00F96688">
        <w:t>CMR15/4(Add.2)(Rev.1))</w:t>
      </w:r>
      <w:r>
        <w:rPr>
          <w:rFonts w:hint="cs"/>
          <w:rtl/>
        </w:rPr>
        <w:t xml:space="preserve"> فضلاً عن المثال الوارد في معلومات التذييل</w:t>
      </w:r>
      <w:r w:rsidR="001F6817">
        <w:rPr>
          <w:rFonts w:hint="eastAsia"/>
          <w:rtl/>
          <w:lang w:bidi="ar-EG"/>
        </w:rPr>
        <w:t> </w:t>
      </w:r>
      <w:r>
        <w:t>4</w:t>
      </w:r>
      <w:r>
        <w:rPr>
          <w:rFonts w:hint="cs"/>
          <w:rtl/>
          <w:lang w:bidi="ar-EG"/>
        </w:rPr>
        <w:t xml:space="preserve"> الذي قد يلزم للتبليغ عن المحطات الأرضية النموذجية، ومشاريع التعديلات على التذييل</w:t>
      </w:r>
      <w:r w:rsidR="001F6817">
        <w:rPr>
          <w:rFonts w:hint="eastAsia"/>
          <w:rtl/>
          <w:lang w:bidi="ar-EG"/>
        </w:rPr>
        <w:t> </w:t>
      </w:r>
      <w:r>
        <w:rPr>
          <w:lang w:bidi="ar-EG"/>
        </w:rPr>
        <w:t>4</w:t>
      </w:r>
      <w:r>
        <w:rPr>
          <w:rFonts w:hint="cs"/>
          <w:rtl/>
          <w:lang w:bidi="ar-EG"/>
        </w:rPr>
        <w:t xml:space="preserve"> للوائح الراديو </w:t>
      </w:r>
      <w:r>
        <w:t>(CMR15/4(Add.2)(Rev.1)(Add.1))</w:t>
      </w:r>
      <w:r>
        <w:rPr>
          <w:rFonts w:hint="cs"/>
          <w:rtl/>
        </w:rPr>
        <w:t>:</w:t>
      </w:r>
    </w:p>
    <w:p w:rsidR="00F54F05" w:rsidRPr="00941971" w:rsidRDefault="00A94EAB" w:rsidP="00941971">
      <w:pPr>
        <w:rPr>
          <w:rFonts w:eastAsia="SimSun"/>
          <w:rtl/>
          <w:lang w:bidi="ar-EG"/>
        </w:rPr>
      </w:pPr>
      <w:r w:rsidRPr="00A94EAB">
        <w:rPr>
          <w:rFonts w:hint="cs"/>
          <w:i/>
          <w:iCs/>
          <w:rtl/>
          <w:lang w:bidi="ar-EG"/>
        </w:rPr>
        <w:t xml:space="preserve">"كل إدارة ترغب في إبلاغ الأعضاء بنشر محطات أرضية متعددة تُستعمل من أجل تطبيقات الهوائيات الصغيرة جداً (مثل </w:t>
      </w:r>
      <w:r w:rsidRPr="00A94EAB">
        <w:rPr>
          <w:i/>
          <w:iCs/>
          <w:color w:val="000000"/>
          <w:rtl/>
        </w:rPr>
        <w:t xml:space="preserve">التلفزيون للاستقبال فقط </w:t>
      </w:r>
      <w:r w:rsidRPr="00A94EAB">
        <w:rPr>
          <w:i/>
          <w:iCs/>
          <w:color w:val="000000"/>
        </w:rPr>
        <w:t>(TVRO)</w:t>
      </w:r>
      <w:r w:rsidRPr="00A94EAB">
        <w:rPr>
          <w:i/>
          <w:iCs/>
          <w:color w:val="000000"/>
          <w:rtl/>
        </w:rPr>
        <w:t xml:space="preserve"> والمطاريف ذات الفتحات الصغيرة جداً </w:t>
      </w:r>
      <w:r w:rsidRPr="00A94EAB">
        <w:rPr>
          <w:i/>
          <w:iCs/>
          <w:color w:val="000000"/>
        </w:rPr>
        <w:t>(VSAT)</w:t>
      </w:r>
      <w:r w:rsidRPr="00A94EAB">
        <w:rPr>
          <w:i/>
          <w:iCs/>
          <w:color w:val="000000"/>
          <w:rtl/>
        </w:rPr>
        <w:t xml:space="preserve"> والبث المباشر إلى المنزل </w:t>
      </w:r>
      <w:r w:rsidRPr="00A94EAB">
        <w:rPr>
          <w:i/>
          <w:iCs/>
          <w:color w:val="000000"/>
        </w:rPr>
        <w:t>(DTH)</w:t>
      </w:r>
      <w:r w:rsidRPr="00A94EAB">
        <w:rPr>
          <w:rFonts w:hint="cs"/>
          <w:i/>
          <w:iCs/>
          <w:rtl/>
        </w:rPr>
        <w:t xml:space="preserve">) في الخدمة الثابتة الساتلية داخل أراضيها والحصول على الاعتراف الدولي، </w:t>
      </w:r>
      <w:r w:rsidRPr="00A94EAB">
        <w:rPr>
          <w:rFonts w:hint="cs"/>
          <w:i/>
          <w:iCs/>
          <w:rtl/>
          <w:lang w:bidi="ar-EG"/>
        </w:rPr>
        <w:t xml:space="preserve">سترسل إلى المكتب الخصائص التقنية المفصلة للمحطات الأرضية والمحطات الفضائية المعنية (معلومات التذييل </w:t>
      </w:r>
      <w:r w:rsidRPr="00941971">
        <w:rPr>
          <w:b/>
          <w:bCs/>
          <w:i/>
          <w:iCs/>
          <w:lang w:bidi="ar-EG"/>
        </w:rPr>
        <w:t>4</w:t>
      </w:r>
      <w:r w:rsidRPr="00A94EAB">
        <w:rPr>
          <w:rFonts w:hint="cs"/>
          <w:i/>
          <w:iCs/>
          <w:rtl/>
          <w:lang w:bidi="ar-EG"/>
        </w:rPr>
        <w:t xml:space="preserve"> المتعلقة بالمحطة الأرضية النموذجية بما في ذلك منطقة الخدمة (انظر البند </w:t>
      </w:r>
      <w:r w:rsidRPr="00A94EAB">
        <w:rPr>
          <w:i/>
          <w:iCs/>
          <w:lang w:bidi="ar-EG"/>
        </w:rPr>
        <w:t>10.C</w:t>
      </w:r>
      <w:r w:rsidRPr="00A94EAB">
        <w:rPr>
          <w:rFonts w:hint="cs"/>
          <w:i/>
          <w:iCs/>
          <w:rtl/>
          <w:lang w:bidi="ar-EG"/>
        </w:rPr>
        <w:t>.د من التذييل</w:t>
      </w:r>
      <w:r w:rsidRPr="00A94EAB">
        <w:rPr>
          <w:rFonts w:hint="eastAsia"/>
          <w:i/>
          <w:iCs/>
          <w:rtl/>
          <w:lang w:bidi="ar-EG"/>
        </w:rPr>
        <w:t> </w:t>
      </w:r>
      <w:r w:rsidRPr="00A94EAB">
        <w:rPr>
          <w:i/>
          <w:iCs/>
          <w:lang w:bidi="ar-EG"/>
        </w:rPr>
        <w:t>(</w:t>
      </w:r>
      <w:r w:rsidRPr="00941971">
        <w:rPr>
          <w:b/>
          <w:bCs/>
          <w:i/>
          <w:iCs/>
          <w:lang w:bidi="ar-EG"/>
        </w:rPr>
        <w:t>4</w:t>
      </w:r>
      <w:r w:rsidRPr="00A94EAB">
        <w:rPr>
          <w:rFonts w:hint="cs"/>
          <w:i/>
          <w:iCs/>
          <w:rtl/>
          <w:lang w:bidi="ar-EG"/>
        </w:rPr>
        <w:t xml:space="preserve"> وعدد المحطات المشغلة أو المزمع تشغيلها فضلاً عن المحطة الأرضية المرتبطة بها). وسينشر المكتب بعد ذلك هذه المعلومات في</w:t>
      </w:r>
      <w:r w:rsidRPr="00A94EAB">
        <w:rPr>
          <w:rFonts w:hint="eastAsia"/>
          <w:i/>
          <w:iCs/>
          <w:rtl/>
          <w:lang w:bidi="ar-EG"/>
        </w:rPr>
        <w:t> </w:t>
      </w:r>
      <w:r w:rsidRPr="00A94EAB">
        <w:rPr>
          <w:rFonts w:hint="cs"/>
          <w:i/>
          <w:iCs/>
          <w:rtl/>
          <w:lang w:bidi="ar-EG"/>
        </w:rPr>
        <w:t>الجزء</w:t>
      </w:r>
      <w:r w:rsidRPr="00A94EAB">
        <w:rPr>
          <w:rFonts w:hint="eastAsia"/>
          <w:i/>
          <w:iCs/>
          <w:rtl/>
          <w:lang w:bidi="ar-EG"/>
        </w:rPr>
        <w:t> </w:t>
      </w:r>
      <w:r w:rsidRPr="00A94EAB">
        <w:rPr>
          <w:i/>
          <w:iCs/>
          <w:lang w:bidi="ar-EG"/>
        </w:rPr>
        <w:t>IS</w:t>
      </w:r>
      <w:r w:rsidRPr="00A94EAB">
        <w:rPr>
          <w:rFonts w:hint="cs"/>
          <w:i/>
          <w:iCs/>
          <w:rtl/>
          <w:lang w:bidi="ar-EG"/>
        </w:rPr>
        <w:t xml:space="preserve">، ثم سيتفحص بطاقة التبليغ فيما يتعلق بالرقم </w:t>
      </w:r>
      <w:r w:rsidRPr="00A94EAB">
        <w:rPr>
          <w:b/>
          <w:bCs/>
          <w:i/>
          <w:iCs/>
          <w:lang w:bidi="ar-EG"/>
        </w:rPr>
        <w:t>31.11</w:t>
      </w:r>
      <w:r w:rsidRPr="00A94EAB">
        <w:rPr>
          <w:rFonts w:hint="cs"/>
          <w:i/>
          <w:iCs/>
          <w:rtl/>
          <w:lang w:bidi="ar-EG"/>
        </w:rPr>
        <w:t xml:space="preserve"> وينشر المعلومات في الجزء </w:t>
      </w:r>
      <w:r w:rsidRPr="00A94EAB">
        <w:rPr>
          <w:i/>
          <w:iCs/>
          <w:lang w:bidi="ar-EG"/>
        </w:rPr>
        <w:t>IIS</w:t>
      </w:r>
      <w:r w:rsidRPr="00A94EAB">
        <w:rPr>
          <w:rFonts w:hint="cs"/>
          <w:i/>
          <w:iCs/>
          <w:rtl/>
          <w:lang w:bidi="ar-EG"/>
        </w:rPr>
        <w:t xml:space="preserve"> مع إشارة واضحة إلى أن هذا النشر</w:t>
      </w:r>
      <w:r w:rsidR="00941971">
        <w:rPr>
          <w:rFonts w:hint="cs"/>
          <w:i/>
          <w:iCs/>
          <w:rtl/>
          <w:lang w:bidi="ar-EG"/>
        </w:rPr>
        <w:t xml:space="preserve"> </w:t>
      </w:r>
      <w:r w:rsidRPr="00A94EAB">
        <w:rPr>
          <w:rFonts w:hint="cs"/>
          <w:i/>
          <w:iCs/>
          <w:rtl/>
          <w:lang w:bidi="ar-EG"/>
        </w:rPr>
        <w:t xml:space="preserve">لأغراض الاعتراف الدولي فقط، دون أن ينشأ عن ذلك تطبيق الرقم </w:t>
      </w:r>
      <w:r w:rsidRPr="00A94EAB">
        <w:rPr>
          <w:b/>
          <w:bCs/>
          <w:i/>
          <w:iCs/>
          <w:lang w:bidi="ar-EG"/>
        </w:rPr>
        <w:t>32.11</w:t>
      </w:r>
      <w:r w:rsidRPr="00A94EAB">
        <w:rPr>
          <w:rFonts w:hint="cs"/>
          <w:i/>
          <w:iCs/>
          <w:rtl/>
          <w:lang w:bidi="ar-EG"/>
        </w:rPr>
        <w:t xml:space="preserve"> أو الرقم </w:t>
      </w:r>
      <w:r w:rsidRPr="00A94EAB">
        <w:rPr>
          <w:b/>
          <w:bCs/>
          <w:i/>
          <w:iCs/>
          <w:lang w:bidi="ar-EG"/>
        </w:rPr>
        <w:t>32A.11</w:t>
      </w:r>
      <w:r w:rsidRPr="00A94EAB">
        <w:rPr>
          <w:rFonts w:hint="cs"/>
          <w:i/>
          <w:iCs/>
          <w:rtl/>
          <w:lang w:bidi="ar-EG"/>
        </w:rPr>
        <w:t xml:space="preserve"> من لوائح الراديو. (ويمكن</w:t>
      </w:r>
      <w:r w:rsidRPr="00A94EAB">
        <w:rPr>
          <w:rFonts w:hint="eastAsia"/>
          <w:i/>
          <w:iCs/>
          <w:rtl/>
          <w:lang w:bidi="ar-EG"/>
        </w:rPr>
        <w:t> </w:t>
      </w:r>
      <w:r w:rsidRPr="00A94EAB">
        <w:rPr>
          <w:rFonts w:hint="cs"/>
          <w:i/>
          <w:iCs/>
          <w:rtl/>
          <w:lang w:bidi="ar-EG"/>
        </w:rPr>
        <w:t>تنفيذ</w:t>
      </w:r>
      <w:r w:rsidRPr="00A94EAB">
        <w:rPr>
          <w:rFonts w:hint="eastAsia"/>
          <w:i/>
          <w:iCs/>
          <w:rtl/>
          <w:lang w:bidi="ar-EG"/>
        </w:rPr>
        <w:t> </w:t>
      </w:r>
      <w:r w:rsidRPr="00A94EAB">
        <w:rPr>
          <w:rFonts w:hint="cs"/>
          <w:i/>
          <w:iCs/>
          <w:rtl/>
          <w:lang w:bidi="ar-EG"/>
        </w:rPr>
        <w:t xml:space="preserve">هذه الإشارة من خلال إدماج شفرة جديدة في المقدمة تُدرج في العمود </w:t>
      </w:r>
      <w:r w:rsidRPr="00A94EAB">
        <w:rPr>
          <w:i/>
          <w:iCs/>
          <w:lang w:bidi="ar-EG"/>
        </w:rPr>
        <w:t>B2 13</w:t>
      </w:r>
      <w:r w:rsidRPr="00A94EAB">
        <w:rPr>
          <w:rFonts w:hint="cs"/>
          <w:i/>
          <w:iCs/>
          <w:rtl/>
          <w:lang w:bidi="ar-EG"/>
        </w:rPr>
        <w:t>).</w:t>
      </w:r>
      <w:r w:rsidRPr="00A94EAB">
        <w:rPr>
          <w:rFonts w:eastAsia="SimSun" w:hint="cs"/>
          <w:i/>
          <w:iCs/>
          <w:rtl/>
          <w:lang w:bidi="ar-EG"/>
        </w:rPr>
        <w:t>"</w:t>
      </w:r>
    </w:p>
    <w:p w:rsidR="00941971" w:rsidRPr="00941971" w:rsidRDefault="00941971" w:rsidP="00941971">
      <w:pPr>
        <w:pStyle w:val="Reasons"/>
        <w:rPr>
          <w:rFonts w:eastAsia="SimSun"/>
          <w:rtl/>
          <w:lang w:bidi="ar-EG"/>
        </w:rPr>
      </w:pPr>
    </w:p>
    <w:p w:rsidR="002919E1" w:rsidRPr="002919E1" w:rsidRDefault="00941971" w:rsidP="004653FE">
      <w:pPr>
        <w:spacing w:before="600"/>
        <w:jc w:val="center"/>
        <w:rPr>
          <w:noProof/>
          <w:rtl/>
        </w:rPr>
      </w:pPr>
      <w:r>
        <w:rPr>
          <w:rFonts w:hint="cs"/>
          <w:noProof/>
          <w:rtl/>
        </w:rPr>
        <w:t>___________</w:t>
      </w:r>
    </w:p>
    <w:sectPr w:rsidR="002919E1" w:rsidRPr="002919E1"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B0C19" w:rsidRDefault="008B0C19" w:rsidP="008B0C19">
    <w:pPr>
      <w:pStyle w:val="Footer"/>
      <w:tabs>
        <w:tab w:val="clear" w:pos="5812"/>
        <w:tab w:val="left" w:pos="5670"/>
      </w:tabs>
    </w:pPr>
    <w:r w:rsidRPr="00CB4300">
      <w:fldChar w:fldCharType="begin"/>
    </w:r>
    <w:r w:rsidRPr="008B0C19">
      <w:instrText xml:space="preserve"> FILENAME \p \* MERGEFORMAT </w:instrText>
    </w:r>
    <w:r w:rsidRPr="00CB4300">
      <w:fldChar w:fldCharType="separate"/>
    </w:r>
    <w:r w:rsidR="004653FE">
      <w:rPr>
        <w:noProof/>
      </w:rPr>
      <w:t>P:\ARA\ITU-R\CONF-R\CMR15\000\058ADD23ADD02A.docx</w:t>
    </w:r>
    <w:r w:rsidRPr="00CB4300">
      <w:fldChar w:fldCharType="end"/>
    </w:r>
    <w:r w:rsidRPr="008B0C19">
      <w:t xml:space="preserve">  (</w:t>
    </w:r>
    <w:r>
      <w:t>389912</w:t>
    </w:r>
    <w:r w:rsidRPr="008B0C19">
      <w:t>)</w:t>
    </w:r>
    <w:r w:rsidRPr="008B0C19">
      <w:tab/>
    </w:r>
    <w:r w:rsidRPr="00CB4300">
      <w:fldChar w:fldCharType="begin"/>
    </w:r>
    <w:r w:rsidRPr="00CB4300">
      <w:instrText xml:space="preserve"> savedate \@ dd.MM.yy </w:instrText>
    </w:r>
    <w:r w:rsidRPr="00CB4300">
      <w:fldChar w:fldCharType="separate"/>
    </w:r>
    <w:r w:rsidR="00F81056">
      <w:rPr>
        <w:noProof/>
      </w:rPr>
      <w:t>10.11.15</w:t>
    </w:r>
    <w:r w:rsidRPr="00CB4300">
      <w:fldChar w:fldCharType="end"/>
    </w:r>
    <w:r w:rsidRPr="008B0C19">
      <w:tab/>
    </w:r>
    <w:r w:rsidRPr="00CB4300">
      <w:fldChar w:fldCharType="begin"/>
    </w:r>
    <w:r w:rsidRPr="00CB4300">
      <w:instrText xml:space="preserve"> printdate \@ dd.MM.yy </w:instrText>
    </w:r>
    <w:r w:rsidRPr="00CB4300">
      <w:fldChar w:fldCharType="separate"/>
    </w:r>
    <w:r w:rsidR="00ED2F8C">
      <w:rPr>
        <w:noProof/>
      </w:rPr>
      <w:t>10.11.15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ED2F8C" w:rsidRDefault="00281F5F" w:rsidP="004653FE">
    <w:pPr>
      <w:pStyle w:val="Footer"/>
    </w:pPr>
    <w:r>
      <w:fldChar w:fldCharType="begin"/>
    </w:r>
    <w:r w:rsidRPr="00ED2F8C">
      <w:instrText xml:space="preserve"> FILENAME \p \* MERGEFORMAT </w:instrText>
    </w:r>
    <w:r>
      <w:fldChar w:fldCharType="separate"/>
    </w:r>
    <w:r w:rsidR="004653FE">
      <w:rPr>
        <w:noProof/>
      </w:rPr>
      <w:t>P:\ARA\ITU-R\CONF-R\CMR15\000\058ADD23ADD02A.docx</w:t>
    </w:r>
    <w:r>
      <w:fldChar w:fldCharType="end"/>
    </w:r>
    <w:r w:rsidRPr="00ED2F8C">
      <w:t xml:space="preserve">   (</w:t>
    </w:r>
    <w:r w:rsidR="004653FE">
      <w:t>389912</w:t>
    </w:r>
    <w:r w:rsidRPr="00ED2F8C">
      <w:t>)</w:t>
    </w:r>
    <w:r w:rsidRPr="00ED2F8C">
      <w:tab/>
    </w:r>
    <w:r w:rsidRPr="00B12661">
      <w:fldChar w:fldCharType="begin"/>
    </w:r>
    <w:r w:rsidRPr="00B12661">
      <w:instrText xml:space="preserve"> savedate \@ dd.MM.yy </w:instrText>
    </w:r>
    <w:r w:rsidRPr="00B12661">
      <w:fldChar w:fldCharType="separate"/>
    </w:r>
    <w:r w:rsidR="00F81056">
      <w:rPr>
        <w:noProof/>
      </w:rPr>
      <w:t>10.11.15</w:t>
    </w:r>
    <w:r w:rsidRPr="00B12661">
      <w:fldChar w:fldCharType="end"/>
    </w:r>
    <w:r w:rsidRPr="00ED2F8C">
      <w:tab/>
    </w:r>
    <w:r w:rsidRPr="00B12661">
      <w:fldChar w:fldCharType="begin"/>
    </w:r>
    <w:r w:rsidRPr="00B12661">
      <w:instrText xml:space="preserve"> printdate \@ dd.MM.yy </w:instrText>
    </w:r>
    <w:r w:rsidRPr="00B12661">
      <w:fldChar w:fldCharType="separate"/>
    </w:r>
    <w:r w:rsidR="00ED2F8C">
      <w:rPr>
        <w:noProof/>
      </w:rPr>
      <w:t>10.11.15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07CA5">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58(Add.23)(Add.2)-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D3392"/>
    <w:rsid w:val="000E2AFC"/>
    <w:rsid w:val="000E6D30"/>
    <w:rsid w:val="000F05F5"/>
    <w:rsid w:val="000F28EA"/>
    <w:rsid w:val="000F518F"/>
    <w:rsid w:val="0010081C"/>
    <w:rsid w:val="001013E3"/>
    <w:rsid w:val="0010363F"/>
    <w:rsid w:val="001262FB"/>
    <w:rsid w:val="00130CF1"/>
    <w:rsid w:val="001343C2"/>
    <w:rsid w:val="001464F2"/>
    <w:rsid w:val="001629EC"/>
    <w:rsid w:val="00164F35"/>
    <w:rsid w:val="00167364"/>
    <w:rsid w:val="001903B2"/>
    <w:rsid w:val="001D34BA"/>
    <w:rsid w:val="001E190C"/>
    <w:rsid w:val="001E54F6"/>
    <w:rsid w:val="001E5A8C"/>
    <w:rsid w:val="001F6817"/>
    <w:rsid w:val="001F6A46"/>
    <w:rsid w:val="00201A0A"/>
    <w:rsid w:val="002075D4"/>
    <w:rsid w:val="00211B2A"/>
    <w:rsid w:val="002333A0"/>
    <w:rsid w:val="002543CF"/>
    <w:rsid w:val="00255868"/>
    <w:rsid w:val="0026062E"/>
    <w:rsid w:val="00260F50"/>
    <w:rsid w:val="00261EF7"/>
    <w:rsid w:val="002668A1"/>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47ED4"/>
    <w:rsid w:val="00461FA7"/>
    <w:rsid w:val="004653FE"/>
    <w:rsid w:val="00470CBD"/>
    <w:rsid w:val="0047407D"/>
    <w:rsid w:val="004909DD"/>
    <w:rsid w:val="004A05E6"/>
    <w:rsid w:val="004A6C66"/>
    <w:rsid w:val="004A7AA0"/>
    <w:rsid w:val="004C11BC"/>
    <w:rsid w:val="004D4AE6"/>
    <w:rsid w:val="004E34FA"/>
    <w:rsid w:val="00505FCA"/>
    <w:rsid w:val="00506B5C"/>
    <w:rsid w:val="00510C2D"/>
    <w:rsid w:val="005169F4"/>
    <w:rsid w:val="005210D1"/>
    <w:rsid w:val="00523146"/>
    <w:rsid w:val="00523275"/>
    <w:rsid w:val="00526B8B"/>
    <w:rsid w:val="00531DC7"/>
    <w:rsid w:val="005350B0"/>
    <w:rsid w:val="00546A99"/>
    <w:rsid w:val="00553411"/>
    <w:rsid w:val="00554AE7"/>
    <w:rsid w:val="00564746"/>
    <w:rsid w:val="0056512C"/>
    <w:rsid w:val="00576D0A"/>
    <w:rsid w:val="00576FCC"/>
    <w:rsid w:val="00584333"/>
    <w:rsid w:val="005930D8"/>
    <w:rsid w:val="005947A8"/>
    <w:rsid w:val="005953EC"/>
    <w:rsid w:val="005B00A1"/>
    <w:rsid w:val="005C29C8"/>
    <w:rsid w:val="005C5D25"/>
    <w:rsid w:val="005D6D48"/>
    <w:rsid w:val="005D72A4"/>
    <w:rsid w:val="005F05CC"/>
    <w:rsid w:val="005F65DE"/>
    <w:rsid w:val="00607CA5"/>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19D0"/>
    <w:rsid w:val="007248EC"/>
    <w:rsid w:val="00731150"/>
    <w:rsid w:val="00736DCC"/>
    <w:rsid w:val="00741855"/>
    <w:rsid w:val="00742B73"/>
    <w:rsid w:val="00744F61"/>
    <w:rsid w:val="00751251"/>
    <w:rsid w:val="007610E7"/>
    <w:rsid w:val="00764079"/>
    <w:rsid w:val="0076414B"/>
    <w:rsid w:val="00770AA0"/>
    <w:rsid w:val="00771F7E"/>
    <w:rsid w:val="00773E9C"/>
    <w:rsid w:val="00776F6B"/>
    <w:rsid w:val="00777694"/>
    <w:rsid w:val="00786A7E"/>
    <w:rsid w:val="007A0802"/>
    <w:rsid w:val="007B1FCA"/>
    <w:rsid w:val="007C2C12"/>
    <w:rsid w:val="007C3CFA"/>
    <w:rsid w:val="007E0E8B"/>
    <w:rsid w:val="007F08CA"/>
    <w:rsid w:val="007F5515"/>
    <w:rsid w:val="007F7FC3"/>
    <w:rsid w:val="00810482"/>
    <w:rsid w:val="00817568"/>
    <w:rsid w:val="008204AC"/>
    <w:rsid w:val="008261C2"/>
    <w:rsid w:val="00830D96"/>
    <w:rsid w:val="008455BE"/>
    <w:rsid w:val="0085569D"/>
    <w:rsid w:val="00855B59"/>
    <w:rsid w:val="0085774F"/>
    <w:rsid w:val="008657CB"/>
    <w:rsid w:val="00865C09"/>
    <w:rsid w:val="00866A15"/>
    <w:rsid w:val="0088384B"/>
    <w:rsid w:val="008911EC"/>
    <w:rsid w:val="00893E53"/>
    <w:rsid w:val="008A1137"/>
    <w:rsid w:val="008A1788"/>
    <w:rsid w:val="008A4185"/>
    <w:rsid w:val="008A6552"/>
    <w:rsid w:val="008B0C19"/>
    <w:rsid w:val="008B4E93"/>
    <w:rsid w:val="008D4F14"/>
    <w:rsid w:val="008D6ACC"/>
    <w:rsid w:val="008D7AF0"/>
    <w:rsid w:val="008E32DD"/>
    <w:rsid w:val="008F4626"/>
    <w:rsid w:val="009004DF"/>
    <w:rsid w:val="00904AA5"/>
    <w:rsid w:val="00905D21"/>
    <w:rsid w:val="00941971"/>
    <w:rsid w:val="00951718"/>
    <w:rsid w:val="00954CCB"/>
    <w:rsid w:val="00960962"/>
    <w:rsid w:val="00972CE0"/>
    <w:rsid w:val="00987CC8"/>
    <w:rsid w:val="009A3D30"/>
    <w:rsid w:val="009B0BD8"/>
    <w:rsid w:val="009C2206"/>
    <w:rsid w:val="009D6348"/>
    <w:rsid w:val="009E613F"/>
    <w:rsid w:val="009F042B"/>
    <w:rsid w:val="009F7BA0"/>
    <w:rsid w:val="00A03FD6"/>
    <w:rsid w:val="00A116A8"/>
    <w:rsid w:val="00A22AE9"/>
    <w:rsid w:val="00A259DF"/>
    <w:rsid w:val="00A26758"/>
    <w:rsid w:val="00A26D0E"/>
    <w:rsid w:val="00A278E9"/>
    <w:rsid w:val="00A3451F"/>
    <w:rsid w:val="00A36268"/>
    <w:rsid w:val="00A40B2C"/>
    <w:rsid w:val="00A66D2B"/>
    <w:rsid w:val="00A7771E"/>
    <w:rsid w:val="00A83981"/>
    <w:rsid w:val="00A870AD"/>
    <w:rsid w:val="00A90843"/>
    <w:rsid w:val="00A94EAB"/>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0CD6"/>
    <w:rsid w:val="00B528DF"/>
    <w:rsid w:val="00B606BA"/>
    <w:rsid w:val="00B66817"/>
    <w:rsid w:val="00B71E3B"/>
    <w:rsid w:val="00B721D5"/>
    <w:rsid w:val="00B81CB5"/>
    <w:rsid w:val="00B8351F"/>
    <w:rsid w:val="00B86C44"/>
    <w:rsid w:val="00B9727C"/>
    <w:rsid w:val="00BA610A"/>
    <w:rsid w:val="00BA7D44"/>
    <w:rsid w:val="00BD6EF3"/>
    <w:rsid w:val="00BE69C3"/>
    <w:rsid w:val="00BF0751"/>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03CD5"/>
    <w:rsid w:val="00D25120"/>
    <w:rsid w:val="00D419CB"/>
    <w:rsid w:val="00D44350"/>
    <w:rsid w:val="00D44E3F"/>
    <w:rsid w:val="00D525F5"/>
    <w:rsid w:val="00D535D0"/>
    <w:rsid w:val="00D62C78"/>
    <w:rsid w:val="00D81703"/>
    <w:rsid w:val="00D82929"/>
    <w:rsid w:val="00D84214"/>
    <w:rsid w:val="00D943E5"/>
    <w:rsid w:val="00D94EE2"/>
    <w:rsid w:val="00DA1AE0"/>
    <w:rsid w:val="00DC29DD"/>
    <w:rsid w:val="00DC7C0E"/>
    <w:rsid w:val="00DF2A6A"/>
    <w:rsid w:val="00DF3B72"/>
    <w:rsid w:val="00E10821"/>
    <w:rsid w:val="00E165ED"/>
    <w:rsid w:val="00E2489D"/>
    <w:rsid w:val="00E25C06"/>
    <w:rsid w:val="00E26520"/>
    <w:rsid w:val="00E343A3"/>
    <w:rsid w:val="00E436D8"/>
    <w:rsid w:val="00E51BFA"/>
    <w:rsid w:val="00E621A3"/>
    <w:rsid w:val="00E77D29"/>
    <w:rsid w:val="00E833BC"/>
    <w:rsid w:val="00E8580E"/>
    <w:rsid w:val="00EA1B76"/>
    <w:rsid w:val="00EA77D7"/>
    <w:rsid w:val="00EC09B9"/>
    <w:rsid w:val="00ED048C"/>
    <w:rsid w:val="00ED2F8C"/>
    <w:rsid w:val="00ED4B29"/>
    <w:rsid w:val="00EF38AF"/>
    <w:rsid w:val="00F055F8"/>
    <w:rsid w:val="00F10CB4"/>
    <w:rsid w:val="00F11B3D"/>
    <w:rsid w:val="00F14763"/>
    <w:rsid w:val="00F16212"/>
    <w:rsid w:val="00F16602"/>
    <w:rsid w:val="00F25B80"/>
    <w:rsid w:val="00F2685F"/>
    <w:rsid w:val="00F350C8"/>
    <w:rsid w:val="00F54F05"/>
    <w:rsid w:val="00F648A5"/>
    <w:rsid w:val="00F81056"/>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F52C9B6-CC8C-4E63-A71F-80539941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R15-WRC15-C-0058!A23-A2!MSW-A</DPM_x0020_File_x0020_name>
    <DPM_x0020_Author xmlns="32a1a8c5-2265-4ebc-b7a0-2071e2c5c9bb" xsi:nil="false">Documents Proposals Manager (DPM)</DPM_x0020_Author>
    <DPM_x0020_Version xmlns="32a1a8c5-2265-4ebc-b7a0-2071e2c5c9bb" xsi:nil="false">DPM_v5.2015.11.102_prod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E71E-32B6-492A-B9F9-E7EC7DD144D1}">
  <ds:schemaRefs>
    <ds:schemaRef ds:uri="http://purl.org/dc/elements/1.1/"/>
    <ds:schemaRef ds:uri="996b2e75-67fd-4955-a3b0-5ab9934cb50b"/>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14A38A-7CC8-4E54-B74A-3684DDED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542</Words>
  <Characters>2953</Characters>
  <Application>Microsoft Office Word</Application>
  <DocSecurity>0</DocSecurity>
  <Lines>173</Lines>
  <Paragraphs>120</Paragraphs>
  <ScaleCrop>false</ScaleCrop>
  <HeadingPairs>
    <vt:vector size="2" baseType="variant">
      <vt:variant>
        <vt:lpstr>Title</vt:lpstr>
      </vt:variant>
      <vt:variant>
        <vt:i4>1</vt:i4>
      </vt:variant>
    </vt:vector>
  </HeadingPairs>
  <TitlesOfParts>
    <vt:vector size="1" baseType="lpstr">
      <vt:lpstr>R15-WRC15-C-0058!A23-A2!MSW-A</vt:lpstr>
    </vt:vector>
  </TitlesOfParts>
  <Manager>General Secretariat - Pool</Manager>
  <Company>International Telecommunication Union (ITU)</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R15-WRC15-C-0058!A23-A2!MSW-A</dc:title>
  <dc:creator>Documents Proposals Manager (DPM)</dc:creator>
  <cp:keywords>DPM_v5.2015.11.102_prod</cp:keywords>
  <cp:lastModifiedBy>Awad, Samy</cp:lastModifiedBy>
  <cp:revision>15</cp:revision>
  <cp:lastPrinted>2015-11-10T15:33:00Z</cp:lastPrinted>
  <dcterms:created xsi:type="dcterms:W3CDTF">2015-11-10T15:48:00Z</dcterms:created>
  <dcterms:modified xsi:type="dcterms:W3CDTF">2015-11-10T18:12:00Z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