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5</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58(Add.23)</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10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Indonesia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9.2</w:t>
            </w:r>
          </w:p>
        </w:tc>
      </w:tr>
    </w:tbl>
    <w:bookmarkEnd w:id="6"/>
    <w:bookmarkEnd w:id="7"/>
    <w:p w:rsidR="00B02325" w:rsidRPr="000002F2" w:rsidRDefault="0089614B" w:rsidP="005A1B64">
      <w:pPr>
        <w:overflowPunct/>
        <w:autoSpaceDE/>
        <w:autoSpaceDN/>
        <w:adjustRightInd/>
        <w:textAlignment w:val="auto"/>
      </w:pPr>
      <w:r w:rsidRPr="009A2B70">
        <w:t>9</w:t>
      </w:r>
      <w:r w:rsidRPr="009A2B70">
        <w:tab/>
        <w:t xml:space="preserve">to consider and approve the Report of the Director of the </w:t>
      </w:r>
      <w:proofErr w:type="spellStart"/>
      <w:r w:rsidRPr="009A2B70">
        <w:t>Radiocommunication</w:t>
      </w:r>
      <w:proofErr w:type="spellEnd"/>
      <w:r w:rsidRPr="009A2B70">
        <w:t xml:space="preserve"> Bureau, in accordance with Article 7 of the Convention:</w:t>
      </w:r>
    </w:p>
    <w:p w:rsidR="00B02325" w:rsidRPr="000002F2" w:rsidRDefault="0089614B" w:rsidP="00E225E5">
      <w:pPr>
        <w:overflowPunct/>
        <w:autoSpaceDE/>
        <w:autoSpaceDN/>
        <w:adjustRightInd/>
        <w:spacing w:before="100"/>
        <w:textAlignment w:val="auto"/>
      </w:pPr>
      <w:r w:rsidRPr="009A2B70">
        <w:t>9.2</w:t>
      </w:r>
      <w:r w:rsidRPr="009A2B70">
        <w:tab/>
        <w:t>on any difficulties or inconsistencies encountered in the application of the Radio Regulations; and</w:t>
      </w:r>
    </w:p>
    <w:p w:rsidR="000031BB" w:rsidRPr="000031BB" w:rsidRDefault="000031BB" w:rsidP="000031BB">
      <w:pPr>
        <w:rPr>
          <w:lang w:val="en-US"/>
        </w:rPr>
      </w:pPr>
    </w:p>
    <w:p w:rsidR="000031BB" w:rsidRPr="000031BB" w:rsidRDefault="000031BB" w:rsidP="000031BB">
      <w:pPr>
        <w:pStyle w:val="Headingb"/>
        <w:rPr>
          <w:lang w:val="en-US"/>
        </w:rPr>
      </w:pPr>
      <w:r w:rsidRPr="000031BB">
        <w:rPr>
          <w:lang w:val="en-US"/>
        </w:rPr>
        <w:t>Background information</w:t>
      </w:r>
    </w:p>
    <w:p w:rsidR="000031BB" w:rsidRDefault="000031BB" w:rsidP="000031BB">
      <w:r>
        <w:t xml:space="preserve">The Administration of Indonesia has examined the Report of the Director of the </w:t>
      </w:r>
      <w:proofErr w:type="spellStart"/>
      <w:r>
        <w:t>Radiocommunication</w:t>
      </w:r>
      <w:proofErr w:type="spellEnd"/>
      <w:r>
        <w:t xml:space="preserve"> Bureau and proposes that the Conference considers the notification of typical earth stations in the fixed-satellite service (FSS).</w:t>
      </w:r>
    </w:p>
    <w:p w:rsidR="000031BB" w:rsidRDefault="004C4C7E" w:rsidP="004C4C7E">
      <w:r>
        <w:t>Section </w:t>
      </w:r>
      <w:r w:rsidR="000031BB">
        <w:t xml:space="preserve">3.2.3.8 of the Report of the Director of the </w:t>
      </w:r>
      <w:proofErr w:type="spellStart"/>
      <w:r w:rsidR="000031BB">
        <w:t>Radiocommunication</w:t>
      </w:r>
      <w:proofErr w:type="spellEnd"/>
      <w:r w:rsidR="000031BB">
        <w:t xml:space="preserve"> Bureau (CMR15/4(Add.2)(Rev.1)) advises that the Conference may wish to further investigate and address the notification of typical earth stations in the</w:t>
      </w:r>
      <w:r>
        <w:t xml:space="preserve"> fixed-satellite service (FSS).</w:t>
      </w:r>
      <w:r w:rsidR="000031BB">
        <w:t xml:space="preserve"> The Report is noting that concept of a typical earth station in the FSS is not defined in the Radio Regulations, but it is widely u</w:t>
      </w:r>
      <w:r>
        <w:t>sed and referred to in Articles </w:t>
      </w:r>
      <w:r w:rsidR="000031BB">
        <w:t>9 and 11 of Radio Regulations (RR) and also that from No. 11.17 it may be considered as administrative vehicle by which a number of earth stations (only generally specified location characteristics) may be notif</w:t>
      </w:r>
      <w:r>
        <w:t>ied to the Bureau under Article </w:t>
      </w:r>
      <w:r w:rsidR="000031BB">
        <w:t>11 in the form of a single notice (instead of multiple notices).</w:t>
      </w:r>
    </w:p>
    <w:p w:rsidR="000031BB" w:rsidRDefault="000031BB" w:rsidP="000031BB">
      <w:r>
        <w:t>While individual earth stations can be coordinated and notified to ITU, the concept of “typical earth stations” was developed and is intensively used during the coordination of satellite networks, particularly for FSS applications.  However, No</w:t>
      </w:r>
      <w:r w:rsidR="0089614B">
        <w:t>.</w:t>
      </w:r>
      <w:r w:rsidR="00215103">
        <w:t> </w:t>
      </w:r>
      <w:r>
        <w:t>11.17 does not allow for the notification o</w:t>
      </w:r>
      <w:r w:rsidR="00215103">
        <w:t>f such typical earth stations.</w:t>
      </w:r>
    </w:p>
    <w:p w:rsidR="000031BB" w:rsidRDefault="000031BB" w:rsidP="000031BB">
      <w:r w:rsidRPr="00F96688">
        <w:t>In Document CMR15/4(Add.2)(Rev.1)(Add.1), some further suggestions on the information that could be required to notify and record typical FSS earth s</w:t>
      </w:r>
      <w:r w:rsidR="00E6758C">
        <w:t>tations are indicated (Appendix </w:t>
      </w:r>
      <w:r w:rsidRPr="00F96688">
        <w:t>4 information for the typical earth station including</w:t>
      </w:r>
      <w:r w:rsidR="00E6758C">
        <w:t xml:space="preserve"> the service area (see Appendix </w:t>
      </w:r>
      <w:r w:rsidRPr="00F96688">
        <w:t>4, items C.10.d) and the number of stations operating or to be operated, as well as the associated space station).</w:t>
      </w:r>
    </w:p>
    <w:p w:rsidR="000031BB" w:rsidRDefault="000031BB" w:rsidP="000031BB">
      <w:r>
        <w:lastRenderedPageBreak/>
        <w:t>In Indonesia, there are approximately 700.000 of TVROs / VSATs operating in the 3 400-4 200 MHz band which are spreading out over Indonesia territory, and the Indonesia administration considers that both specific and typical earth stations that have been coordinated should be accepted for notification, and receive international recognition.</w:t>
      </w:r>
    </w:p>
    <w:p w:rsidR="000031BB" w:rsidRPr="004C4C7E" w:rsidRDefault="000031BB" w:rsidP="000031BB">
      <w:pPr>
        <w:pStyle w:val="Headingb"/>
        <w:rPr>
          <w:lang w:val="en-US"/>
        </w:rPr>
      </w:pPr>
      <w:r w:rsidRPr="004C4C7E">
        <w:rPr>
          <w:lang w:val="en-US"/>
        </w:rPr>
        <w:t>Proposal</w:t>
      </w:r>
    </w:p>
    <w:p w:rsidR="000031BB" w:rsidRDefault="000031BB" w:rsidP="00894510">
      <w:r>
        <w:t xml:space="preserve">The Administration of Indonesia therefore requests that WRC-15 considers this matter further with the view to determine how the international recognition of typical FSS earth stations should be handled, considering the suggested proposal included in the Report of the Director </w:t>
      </w:r>
      <w:r w:rsidRPr="00F96688">
        <w:t>(CMR15/4(Add.2)(Rev.1))</w:t>
      </w:r>
      <w:r>
        <w:t xml:space="preserve"> as well as the </w:t>
      </w:r>
      <w:r w:rsidR="00894510">
        <w:t>example of Appendix </w:t>
      </w:r>
      <w:r w:rsidRPr="00F96688">
        <w:t>4 information that could be required for the notification of FSS typical earth stations, as dr</w:t>
      </w:r>
      <w:r w:rsidR="00894510">
        <w:t>aft modifications to Appendix </w:t>
      </w:r>
      <w:r w:rsidRPr="00F96688">
        <w:t>4 to the Radio Regulations</w:t>
      </w:r>
      <w:r>
        <w:t xml:space="preserve"> (CMR15/4(Add.2)(Rev.1)(Add.1)):</w:t>
      </w:r>
    </w:p>
    <w:p w:rsidR="000031BB" w:rsidRDefault="000031BB" w:rsidP="000031BB">
      <w:pPr>
        <w:rPr>
          <w:i/>
          <w:iCs/>
          <w:lang w:val="en-US" w:eastAsia="zh-CN"/>
        </w:rPr>
      </w:pPr>
      <w:r w:rsidRPr="000031BB">
        <w:rPr>
          <w:i/>
          <w:iCs/>
          <w:lang w:val="en-US" w:eastAsia="zh-CN"/>
        </w:rPr>
        <w:t>“Any administration wishing to inform the membership about the deployment of</w:t>
      </w:r>
      <w:r w:rsidRPr="000031BB">
        <w:rPr>
          <w:i/>
          <w:iCs/>
          <w:lang w:val="en-US"/>
        </w:rPr>
        <w:t xml:space="preserve"> numerous </w:t>
      </w:r>
      <w:r w:rsidRPr="000031BB">
        <w:rPr>
          <w:i/>
          <w:iCs/>
          <w:lang w:val="en-US" w:eastAsia="zh-CN"/>
        </w:rPr>
        <w:t>earth stations used for very small antenna type of applications (e.g. TVROs, VSAT, DTH) in the FSS within its territory and to obtain international recognition would send to the Bureau detailed technical characteristics of the involved ear</w:t>
      </w:r>
      <w:r w:rsidR="00894510">
        <w:rPr>
          <w:i/>
          <w:iCs/>
          <w:lang w:val="en-US" w:eastAsia="zh-CN"/>
        </w:rPr>
        <w:t>th and space stations (Appendix </w:t>
      </w:r>
      <w:r w:rsidRPr="000031BB">
        <w:rPr>
          <w:b/>
          <w:bCs/>
          <w:i/>
          <w:iCs/>
          <w:lang w:val="en-US" w:eastAsia="zh-CN"/>
        </w:rPr>
        <w:t>4</w:t>
      </w:r>
      <w:r w:rsidRPr="000031BB">
        <w:rPr>
          <w:i/>
          <w:iCs/>
          <w:lang w:val="en-US" w:eastAsia="zh-CN"/>
        </w:rPr>
        <w:t xml:space="preserve"> information for the typical earth station including the service area (see Appendix</w:t>
      </w:r>
      <w:r w:rsidR="00894510">
        <w:rPr>
          <w:i/>
          <w:iCs/>
          <w:lang w:val="en-US" w:eastAsia="zh-CN"/>
        </w:rPr>
        <w:t> </w:t>
      </w:r>
      <w:r w:rsidRPr="000031BB">
        <w:rPr>
          <w:b/>
          <w:bCs/>
          <w:i/>
          <w:iCs/>
          <w:lang w:val="en-US" w:eastAsia="zh-CN"/>
        </w:rPr>
        <w:t>4</w:t>
      </w:r>
      <w:r w:rsidRPr="000031BB">
        <w:rPr>
          <w:i/>
          <w:iCs/>
          <w:lang w:val="en-US" w:eastAsia="zh-CN"/>
        </w:rPr>
        <w:t>, items C.10.d) and the number of stations operating or to be operated, as well as the associated space station). The Bureau would then  publish this information in PART-IS, then examine the notice with respect to No.</w:t>
      </w:r>
      <w:r w:rsidR="00894510">
        <w:rPr>
          <w:i/>
          <w:iCs/>
          <w:lang w:val="en-US" w:eastAsia="zh-CN"/>
        </w:rPr>
        <w:t> </w:t>
      </w:r>
      <w:r w:rsidRPr="000031BB">
        <w:rPr>
          <w:b/>
          <w:i/>
          <w:iCs/>
          <w:lang w:val="en-US" w:eastAsia="zh-CN"/>
        </w:rPr>
        <w:t>11.31</w:t>
      </w:r>
      <w:r w:rsidRPr="000031BB">
        <w:rPr>
          <w:i/>
          <w:iCs/>
          <w:lang w:val="en-US" w:eastAsia="zh-CN"/>
        </w:rPr>
        <w:t xml:space="preserve"> and publish the information in PART-IIS with a clear indication that such publication is solely for the purposes of international recognition, without any status derived from the application of No. </w:t>
      </w:r>
      <w:r w:rsidRPr="000031BB">
        <w:rPr>
          <w:b/>
          <w:i/>
          <w:iCs/>
          <w:lang w:val="en-US" w:eastAsia="zh-CN"/>
        </w:rPr>
        <w:t>11.32</w:t>
      </w:r>
      <w:r w:rsidRPr="000031BB">
        <w:rPr>
          <w:i/>
          <w:iCs/>
          <w:lang w:val="en-US" w:eastAsia="zh-CN"/>
        </w:rPr>
        <w:t xml:space="preserve"> or No. </w:t>
      </w:r>
      <w:r w:rsidRPr="000031BB">
        <w:rPr>
          <w:b/>
          <w:i/>
          <w:iCs/>
          <w:lang w:val="en-US" w:eastAsia="zh-CN"/>
        </w:rPr>
        <w:t>11.32A</w:t>
      </w:r>
      <w:r w:rsidRPr="000031BB">
        <w:rPr>
          <w:i/>
          <w:iCs/>
          <w:lang w:val="en-US" w:eastAsia="zh-CN"/>
        </w:rPr>
        <w:t xml:space="preserve"> of the Radio Regulations. (This indication could be implemented by incorporating a new code in the Preface that wou</w:t>
      </w:r>
      <w:r w:rsidR="00894510">
        <w:rPr>
          <w:i/>
          <w:iCs/>
          <w:lang w:val="en-US" w:eastAsia="zh-CN"/>
        </w:rPr>
        <w:t>ld be inserted in the column 13 </w:t>
      </w:r>
      <w:bookmarkStart w:id="8" w:name="_GoBack"/>
      <w:bookmarkEnd w:id="8"/>
      <w:r w:rsidRPr="000031BB">
        <w:rPr>
          <w:i/>
          <w:iCs/>
          <w:lang w:val="en-US" w:eastAsia="zh-CN"/>
        </w:rPr>
        <w:t>B2).”</w:t>
      </w:r>
    </w:p>
    <w:p w:rsidR="000031BB" w:rsidRDefault="000031BB" w:rsidP="0032202E">
      <w:pPr>
        <w:pStyle w:val="Reasons"/>
      </w:pPr>
    </w:p>
    <w:p w:rsidR="000031BB" w:rsidRDefault="000031BB">
      <w:pPr>
        <w:jc w:val="center"/>
      </w:pPr>
      <w:r>
        <w:t>______________</w:t>
      </w:r>
    </w:p>
    <w:p w:rsidR="000031BB" w:rsidRDefault="000031BB" w:rsidP="000031BB">
      <w:pPr>
        <w:rPr>
          <w:i/>
          <w:iCs/>
          <w:lang w:val="en-US"/>
        </w:rPr>
      </w:pPr>
    </w:p>
    <w:sectPr w:rsidR="000031BB"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9614B">
      <w:rPr>
        <w:noProof/>
        <w:lang w:val="en-US"/>
      </w:rPr>
      <w:t>Y:\APP\BR\POOL\WRC-15\DOC (Contributions)\1-100\058ADD23ADD02E.docx</w:t>
    </w:r>
    <w:r>
      <w:fldChar w:fldCharType="end"/>
    </w:r>
    <w:r w:rsidRPr="0041348E">
      <w:rPr>
        <w:lang w:val="en-US"/>
      </w:rPr>
      <w:tab/>
    </w:r>
    <w:r>
      <w:fldChar w:fldCharType="begin"/>
    </w:r>
    <w:r>
      <w:instrText xml:space="preserve"> SAVEDATE \@ DD.MM.YY </w:instrText>
    </w:r>
    <w:r>
      <w:fldChar w:fldCharType="separate"/>
    </w:r>
    <w:r w:rsidR="00CB317C">
      <w:rPr>
        <w:noProof/>
      </w:rPr>
      <w:t>10.11.15</w:t>
    </w:r>
    <w:r>
      <w:fldChar w:fldCharType="end"/>
    </w:r>
    <w:r w:rsidRPr="0041348E">
      <w:rPr>
        <w:lang w:val="en-US"/>
      </w:rPr>
      <w:tab/>
    </w:r>
    <w:r>
      <w:fldChar w:fldCharType="begin"/>
    </w:r>
    <w:r>
      <w:instrText xml:space="preserve"> PRINTDATE \@ DD.MM.YY </w:instrText>
    </w:r>
    <w:r>
      <w:fldChar w:fldCharType="separate"/>
    </w:r>
    <w:r w:rsidR="0089614B">
      <w:rPr>
        <w:noProof/>
      </w:rPr>
      <w:t>10.11.15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066C33">
      <w:rPr>
        <w:lang w:val="en-US"/>
      </w:rPr>
      <w:t>P:\ENG\ITU-R\CONF-R\CMR15\000\058ADD23ADD02E.docx</w:t>
    </w:r>
    <w:r>
      <w:fldChar w:fldCharType="end"/>
    </w:r>
    <w:r w:rsidR="00066C33">
      <w:t xml:space="preserve"> (389912)</w:t>
    </w:r>
    <w:r w:rsidRPr="0041348E">
      <w:rPr>
        <w:lang w:val="en-US"/>
      </w:rPr>
      <w:tab/>
    </w:r>
    <w:r>
      <w:fldChar w:fldCharType="begin"/>
    </w:r>
    <w:r>
      <w:instrText xml:space="preserve"> SAVEDATE \@ DD.MM.YY </w:instrText>
    </w:r>
    <w:r>
      <w:fldChar w:fldCharType="separate"/>
    </w:r>
    <w:r w:rsidR="00066C33">
      <w:t>10.11.15</w:t>
    </w:r>
    <w:r>
      <w:fldChar w:fldCharType="end"/>
    </w:r>
    <w:r w:rsidRPr="0041348E">
      <w:rPr>
        <w:lang w:val="en-US"/>
      </w:rPr>
      <w:tab/>
    </w:r>
    <w:r>
      <w:fldChar w:fldCharType="begin"/>
    </w:r>
    <w:r>
      <w:instrText xml:space="preserve"> PRINTDATE \@ DD.MM.YY </w:instrText>
    </w:r>
    <w:r>
      <w:fldChar w:fldCharType="separate"/>
    </w:r>
    <w:r w:rsidR="00066C33">
      <w:t>10.11.15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066C33">
    <w:pPr>
      <w:pStyle w:val="Footer"/>
      <w:rPr>
        <w:lang w:val="en-US"/>
      </w:rPr>
    </w:pPr>
    <w:r>
      <w:fldChar w:fldCharType="begin"/>
    </w:r>
    <w:r w:rsidRPr="0041348E">
      <w:rPr>
        <w:lang w:val="en-US"/>
      </w:rPr>
      <w:instrText xml:space="preserve"> FILENAME \p  \* MERGEFORMAT </w:instrText>
    </w:r>
    <w:r>
      <w:fldChar w:fldCharType="separate"/>
    </w:r>
    <w:r w:rsidR="00066C33">
      <w:rPr>
        <w:lang w:val="en-US"/>
      </w:rPr>
      <w:t>P:\ENG\ITU-R\CONF-R\CMR15\000\058ADD23ADD02E.docx</w:t>
    </w:r>
    <w:r>
      <w:fldChar w:fldCharType="end"/>
    </w:r>
    <w:r w:rsidR="00066C33">
      <w:t xml:space="preserve"> (389912)</w:t>
    </w:r>
    <w:r w:rsidRPr="0041348E">
      <w:rPr>
        <w:lang w:val="en-US"/>
      </w:rPr>
      <w:tab/>
    </w:r>
    <w:r>
      <w:fldChar w:fldCharType="begin"/>
    </w:r>
    <w:r>
      <w:instrText xml:space="preserve"> SAVEDATE \@ DD.MM.YY </w:instrText>
    </w:r>
    <w:r>
      <w:fldChar w:fldCharType="separate"/>
    </w:r>
    <w:r w:rsidR="00066C33">
      <w:t>10.11.15</w:t>
    </w:r>
    <w:r>
      <w:fldChar w:fldCharType="end"/>
    </w:r>
    <w:r w:rsidRPr="0041348E">
      <w:rPr>
        <w:lang w:val="en-US"/>
      </w:rPr>
      <w:tab/>
    </w:r>
    <w:r>
      <w:fldChar w:fldCharType="begin"/>
    </w:r>
    <w:r>
      <w:instrText xml:space="preserve"> PRINTDATE \@ DD.MM.YY </w:instrText>
    </w:r>
    <w:r>
      <w:fldChar w:fldCharType="separate"/>
    </w:r>
    <w:r w:rsidR="00066C33">
      <w:t>10.11.15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94510">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58(Add.23)(Add.2)</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31BB"/>
    <w:rsid w:val="000041EA"/>
    <w:rsid w:val="00022A29"/>
    <w:rsid w:val="000355FD"/>
    <w:rsid w:val="00051E39"/>
    <w:rsid w:val="00066C33"/>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5103"/>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4C7E"/>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C64D5"/>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94510"/>
    <w:rsid w:val="0089614B"/>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317C"/>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6758C"/>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575BAAA-5BEB-4F22-9FF9-0EED6F99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R15-WRC15-C-0058!A23-A2!MSW-E</DPM_x0020_File_x0020_name>
    <DPM_x0020_Author xmlns="32a1a8c5-2265-4ebc-b7a0-2071e2c5c9bb" xsi:nil="false">Documents Proposals Manager (DPM)</DPM_x0020_Author>
    <DPM_x0020_Version xmlns="32a1a8c5-2265-4ebc-b7a0-2071e2c5c9bb" xsi:nil="false">DPM_v5.2015.11.100_prod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88814-3545-4D8C-88AF-9439FE4AA248}">
  <ds:schemaRefs>
    <ds:schemaRef ds:uri="http://schemas.microsoft.com/office/2006/documentManagement/types"/>
    <ds:schemaRef ds:uri="http://purl.org/dc/elements/1.1/"/>
    <ds:schemaRef ds:uri="996b2e75-67fd-4955-a3b0-5ab9934cb50b"/>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85047F7B-B971-41C4-A93A-8C111AFE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R15-WRC15-C-0058!A23-A2!MSW-E</vt:lpstr>
    </vt:vector>
  </TitlesOfParts>
  <Manager>General Secretariat - Pool</Manager>
  <Company>International Telecommunication Union (ITU)</Company>
  <LinksUpToDate>false</LinksUpToDate>
  <CharactersWithSpaces>4132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R15-WRC15-C-0058!A23-A2!MSW-E</dc:title>
  <dc:subject>World Radiocommunication Conference - 2015</dc:subject>
  <dc:creator>Documents Proposals Manager (DPM)</dc:creator>
  <cp:keywords>DPM_v5.2015.11.100_prod</cp:keywords>
  <dc:description>Uploaded on 2015.07.06</dc:description>
  <cp:lastModifiedBy>Meshkurti, Ana Maria</cp:lastModifiedBy>
  <cp:revision>8</cp:revision>
  <cp:lastPrinted>2015-11-10T08:39:00Z</cp:lastPrinted>
  <dcterms:created xsi:type="dcterms:W3CDTF">2015-11-10T13:52:00Z</dcterms:created>
  <dcterms:modified xsi:type="dcterms:W3CDTF">2015-11-10T13:56:00Z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