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C2443D"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 al</w:t>
            </w:r>
            <w:r>
              <w:rPr>
                <w:rFonts w:ascii="Verdana" w:eastAsia="SimSun" w:hAnsi="Verdana" w:cs="Traditional Arabic"/>
                <w:b/>
                <w:sz w:val="20"/>
                <w:lang w:val="en-US"/>
              </w:rPr>
              <w:br/>
              <w:t>Documento 60</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14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Qatar (Estado de)</w:t>
            </w:r>
          </w:p>
        </w:tc>
      </w:tr>
      <w:tr w:rsidR="000A5B9A" w:rsidRPr="0002785D" w:rsidTr="0050008E">
        <w:trPr>
          <w:cantSplit/>
        </w:trPr>
        <w:tc>
          <w:tcPr>
            <w:tcW w:w="10031" w:type="dxa"/>
            <w:gridSpan w:val="2"/>
          </w:tcPr>
          <w:p w:rsidR="000A5B9A" w:rsidRPr="00C2443D" w:rsidRDefault="00021AA9" w:rsidP="000A5B9A">
            <w:pPr>
              <w:pStyle w:val="Title1"/>
            </w:pPr>
            <w:bookmarkStart w:id="3" w:name="dtitle1" w:colFirst="0" w:colLast="0"/>
            <w:bookmarkEnd w:id="2"/>
            <w:r w:rsidRPr="007F2C0A">
              <w:t>PROPUESTAS PARA LOS TRABAJOS DE LA CONFERENCIA</w:t>
            </w:r>
          </w:p>
        </w:tc>
      </w:tr>
      <w:tr w:rsidR="000A5B9A" w:rsidRPr="0002785D" w:rsidTr="0050008E">
        <w:trPr>
          <w:cantSplit/>
        </w:trPr>
        <w:tc>
          <w:tcPr>
            <w:tcW w:w="10031" w:type="dxa"/>
            <w:gridSpan w:val="2"/>
          </w:tcPr>
          <w:p w:rsidR="000A5B9A" w:rsidRPr="00C2443D"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5E3D48" w:rsidP="00C26A0A">
      <w:r w:rsidRPr="00211854">
        <w:t>1.1</w:t>
      </w:r>
      <w:r w:rsidRPr="00211854">
        <w:tab/>
      </w:r>
      <w:r w:rsidRPr="00211854">
        <w:t>examinar atribuciones adicionales de espectro al servicio móvil a título primario e identificar bandas de frecuencias adicionales para las telecomunicaciones móviles internacionales (IMT) así como las disposiciones transitorias conexas, para facilitar el d</w:t>
      </w:r>
      <w:r w:rsidRPr="00211854">
        <w:t xml:space="preserve">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48359C" w:rsidRDefault="0048359C" w:rsidP="003B47A6">
      <w:pPr>
        <w:pStyle w:val="Headingb"/>
      </w:pPr>
    </w:p>
    <w:p w:rsidR="003B47A6" w:rsidRPr="00E233D0" w:rsidRDefault="003B47A6" w:rsidP="003B47A6">
      <w:pPr>
        <w:pStyle w:val="Headingb"/>
      </w:pPr>
      <w:r w:rsidRPr="00E233D0">
        <w:t>Introducción</w:t>
      </w:r>
    </w:p>
    <w:p w:rsidR="003B47A6" w:rsidRPr="00E233D0" w:rsidRDefault="003B47A6" w:rsidP="003B47A6">
      <w:r w:rsidRPr="00E233D0">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3B47A6" w:rsidRPr="00E233D0" w:rsidRDefault="003B47A6" w:rsidP="003B47A6">
      <w:r w:rsidRPr="00E233D0">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E233D0">
        <w:rPr>
          <w:i/>
          <w:iCs/>
        </w:rPr>
        <w:t>resuelve invitar al UIT-R</w:t>
      </w:r>
      <w:r w:rsidRPr="00E233D0">
        <w:t xml:space="preserve"> de la Resolución 233 (CMR</w:t>
      </w:r>
      <w:r w:rsidRPr="00E233D0">
        <w:noBreakHyphen/>
        <w:t>12), han propuesto que se estudien las siguientes bandas de frecuencias: 470-694/698 MHz, 1 300-1 525 MHz, 1 695-1 710 MHz, 2 025-2 110 MHz, 2 200-2 290 MHz, 2 700-2 900 MHz, 2 900-3 100 MHz, 3 300-3 400 MHz, 3 400-3 600 MHz, 3 600-4 200 MHz, 4 400-4 900 MHz, 4 800-5 000 MHz, 5 350-5 470 MHz, 5 725-5 850 MHz y 5 925-6 425 MHz.</w:t>
      </w:r>
    </w:p>
    <w:p w:rsidR="003B47A6" w:rsidRPr="00E233D0" w:rsidRDefault="003B47A6" w:rsidP="003B47A6">
      <w:r w:rsidRPr="00E233D0">
        <w:t>Sobre la base de los estudios realizados sobre la compartición y la compatibilidad con los servicios que ya tienen atribuciones en las posibles bandas candidatas y en bandas adyacentes, y teniendo en cuenta la utilización actual y prevista de estas bandas por los servicios existentes, así como la necesaria protección que ha de dárseles, las administraciones de los Estados Árabes proponen que se modifique el Reglamento de Radiocomunicaciones en lo que respecta a la banda 3 400-3 600 MHz.</w:t>
      </w:r>
    </w:p>
    <w:p w:rsidR="003B47A6" w:rsidRPr="00E233D0" w:rsidRDefault="003B47A6" w:rsidP="003B47A6">
      <w:r w:rsidRPr="00E233D0">
        <w:lastRenderedPageBreak/>
        <w:t>Cabe señalar que la gama de frecuencias 3 400-3 600 MHz, o partes de la misma, está atribuida al SF, SFS, SAF, SM y SRL.</w:t>
      </w:r>
      <w:r w:rsidRPr="00E233D0">
        <w:rPr>
          <w:rPrChange w:id="6" w:author="Spanish" w:date="2015-10-29T11:42:00Z">
            <w:rPr>
              <w:lang w:val="es-ES"/>
            </w:rPr>
          </w:rPrChange>
        </w:rPr>
        <w:t xml:space="preserve"> </w:t>
      </w:r>
      <w:r w:rsidRPr="00E233D0">
        <w:rPr>
          <w:rStyle w:val="hps"/>
          <w:rPrChange w:id="7" w:author="Spanish" w:date="2015-10-29T11:42:00Z">
            <w:rPr>
              <w:rStyle w:val="hps"/>
              <w:lang w:val="es-ES"/>
            </w:rPr>
          </w:rPrChange>
        </w:rPr>
        <w:t>La banda de frecuencias</w:t>
      </w:r>
      <w:r w:rsidRPr="00E233D0">
        <w:rPr>
          <w:rPrChange w:id="8" w:author="Spanish" w:date="2015-10-29T11:42:00Z">
            <w:rPr>
              <w:lang w:val="es-ES"/>
            </w:rPr>
          </w:rPrChange>
        </w:rPr>
        <w:t xml:space="preserve"> </w:t>
      </w:r>
      <w:r w:rsidRPr="00E233D0">
        <w:rPr>
          <w:rStyle w:val="hps"/>
          <w:rPrChange w:id="9" w:author="Spanish" w:date="2015-10-29T11:42:00Z">
            <w:rPr>
              <w:rStyle w:val="hps"/>
              <w:lang w:val="es-ES"/>
            </w:rPr>
          </w:rPrChange>
        </w:rPr>
        <w:t>3</w:t>
      </w:r>
      <w:r w:rsidRPr="00E233D0">
        <w:rPr>
          <w:rPrChange w:id="10" w:author="Spanish" w:date="2015-10-29T11:42:00Z">
            <w:rPr>
              <w:lang w:val="es-ES"/>
            </w:rPr>
          </w:rPrChange>
        </w:rPr>
        <w:t xml:space="preserve"> </w:t>
      </w:r>
      <w:r w:rsidRPr="00E233D0">
        <w:rPr>
          <w:rStyle w:val="hps"/>
          <w:rPrChange w:id="11" w:author="Spanish" w:date="2015-10-29T11:42:00Z">
            <w:rPr>
              <w:rStyle w:val="hps"/>
              <w:lang w:val="es-ES"/>
            </w:rPr>
          </w:rPrChange>
        </w:rPr>
        <w:t>400-3</w:t>
      </w:r>
      <w:r w:rsidRPr="00E233D0">
        <w:rPr>
          <w:rPrChange w:id="12" w:author="Spanish" w:date="2015-10-29T11:42:00Z">
            <w:rPr>
              <w:lang w:val="es-ES"/>
            </w:rPr>
          </w:rPrChange>
        </w:rPr>
        <w:t xml:space="preserve"> </w:t>
      </w:r>
      <w:r w:rsidRPr="00E233D0">
        <w:rPr>
          <w:rStyle w:val="hps"/>
          <w:rPrChange w:id="13" w:author="Spanish" w:date="2015-10-29T11:42:00Z">
            <w:rPr>
              <w:rStyle w:val="hps"/>
              <w:lang w:val="es-ES"/>
            </w:rPr>
          </w:rPrChange>
        </w:rPr>
        <w:t>600</w:t>
      </w:r>
      <w:r w:rsidRPr="00E233D0">
        <w:rPr>
          <w:rPrChange w:id="14" w:author="Spanish" w:date="2015-10-29T11:42:00Z">
            <w:rPr>
              <w:lang w:val="es-ES"/>
            </w:rPr>
          </w:rPrChange>
        </w:rPr>
        <w:t xml:space="preserve"> </w:t>
      </w:r>
      <w:r w:rsidRPr="00E233D0">
        <w:rPr>
          <w:rStyle w:val="hps"/>
          <w:rPrChange w:id="15" w:author="Spanish" w:date="2015-10-29T11:42:00Z">
            <w:rPr>
              <w:rStyle w:val="hps"/>
              <w:lang w:val="es-ES"/>
            </w:rPr>
          </w:rPrChange>
        </w:rPr>
        <w:t>MHz está atribuida al SM</w:t>
      </w:r>
      <w:r w:rsidRPr="00E233D0">
        <w:rPr>
          <w:rPrChange w:id="16" w:author="Spanish" w:date="2015-10-29T11:42:00Z">
            <w:rPr>
              <w:lang w:val="es-ES"/>
            </w:rPr>
          </w:rPrChange>
        </w:rPr>
        <w:t xml:space="preserve"> </w:t>
      </w:r>
      <w:r w:rsidRPr="00E233D0">
        <w:rPr>
          <w:rStyle w:val="hps"/>
          <w:rPrChange w:id="17" w:author="Spanish" w:date="2015-10-29T11:42:00Z">
            <w:rPr>
              <w:rStyle w:val="hps"/>
              <w:lang w:val="es-ES"/>
            </w:rPr>
          </w:rPrChange>
        </w:rPr>
        <w:t>a título secundario</w:t>
      </w:r>
      <w:r w:rsidRPr="00E233D0">
        <w:rPr>
          <w:rPrChange w:id="18" w:author="Spanish" w:date="2015-10-29T11:42:00Z">
            <w:rPr>
              <w:lang w:val="es-ES"/>
            </w:rPr>
          </w:rPrChange>
        </w:rPr>
        <w:t xml:space="preserve"> </w:t>
      </w:r>
      <w:r w:rsidRPr="007F2C0A">
        <w:t xml:space="preserve">y se identifica en la nota número </w:t>
      </w:r>
      <w:r w:rsidRPr="00E233D0">
        <w:t>5.430A para las IMT en los países indicados en la misma. A fin de beneficiarse de la coordinación mundial de los sistemas IMT, estas administraciones proponen que se atribuya la banda de frecuencias 3 400-3 600 MHz al SM, excepto móvil aeronáutico, a título primario, y que se identifique la banda para las IMT a escala mundial.</w:t>
      </w:r>
    </w:p>
    <w:p w:rsidR="003B47A6" w:rsidRPr="00E233D0" w:rsidRDefault="003B47A6" w:rsidP="003B47A6">
      <w:pPr>
        <w:rPr>
          <w:lang w:eastAsia="zh-CN"/>
        </w:rPr>
      </w:pPr>
      <w:r w:rsidRPr="00E233D0">
        <w:rPr>
          <w:lang w:eastAsia="zh-CN"/>
        </w:rPr>
        <w:t xml:space="preserve">En este sentido, estas administraciones apoyan la atribución de la banda de frecuencias al SM a título primario en el Cuadro de atribución de bandas de frecuencias, sin aplicar el número </w:t>
      </w:r>
      <w:r w:rsidRPr="00E233D0">
        <w:rPr>
          <w:bCs/>
          <w:lang w:eastAsia="zh-CN"/>
        </w:rPr>
        <w:t>9.21</w:t>
      </w:r>
      <w:r w:rsidRPr="00E233D0">
        <w:rPr>
          <w:lang w:eastAsia="zh-CN"/>
        </w:rPr>
        <w:t xml:space="preserve"> del Reglamento de Radiocomunicaciones y sin fijar límites de densidad de flujo de potencia en relación con el SM para proteger al SFS en los países limítrofes. Proseguirá la coordinación con arreglo a los números </w:t>
      </w:r>
      <w:r w:rsidRPr="00E233D0">
        <w:t>9.17 y 9.18</w:t>
      </w:r>
      <w:r w:rsidRPr="00E233D0">
        <w:rPr>
          <w:b/>
          <w:bCs/>
        </w:rPr>
        <w:t xml:space="preserve"> </w:t>
      </w:r>
      <w:r w:rsidRPr="00E233D0">
        <w:rPr>
          <w:bCs/>
        </w:rPr>
        <w:t xml:space="preserve">del Reglamento de Radiocomunicaciones y seguirán aplicándose los límites de densidad de flujo de potencia en relación con el SFS que aparecen en el Cuadro </w:t>
      </w:r>
      <w:r w:rsidRPr="00E233D0">
        <w:rPr>
          <w:bCs/>
          <w:lang w:eastAsia="zh-CN"/>
        </w:rPr>
        <w:t>21-4</w:t>
      </w:r>
      <w:r w:rsidRPr="00E233D0">
        <w:rPr>
          <w:lang w:eastAsia="zh-CN"/>
        </w:rPr>
        <w:t xml:space="preserve"> del Reglamento de Radiocomunicaciones (Edición de 2012).</w:t>
      </w:r>
    </w:p>
    <w:p w:rsidR="003B47A6" w:rsidRPr="007F2C0A" w:rsidRDefault="003B47A6" w:rsidP="003B47A6">
      <w:pPr>
        <w:rPr>
          <w:lang w:eastAsia="ja-JP"/>
        </w:rPr>
      </w:pPr>
      <w:r w:rsidRPr="00E233D0">
        <w:rPr>
          <w:lang w:eastAsia="zh-CN"/>
        </w:rPr>
        <w:t>En consecuencia, estas administraciones proponen que se enmiende la nota 5.430A relativa a la identificación para las IMT, sin imponer requisitos adicionales.</w:t>
      </w:r>
      <w:r>
        <w:rPr>
          <w:lang w:eastAsia="zh-CN"/>
        </w:rPr>
        <w:t xml:space="preserve"> Las IMT estarán sujetas a las mismas condiciones que el SM en la misma banda de frecuencias.</w:t>
      </w:r>
    </w:p>
    <w:p w:rsidR="003B47A6" w:rsidRPr="00E233D0" w:rsidRDefault="003B47A6" w:rsidP="003B47A6">
      <w:pPr>
        <w:pStyle w:val="Headingb"/>
      </w:pPr>
      <w:r w:rsidRPr="00E233D0">
        <w:t>Propuestas</w:t>
      </w:r>
    </w:p>
    <w:p w:rsidR="003B47A6" w:rsidRPr="00E233D0" w:rsidRDefault="003B47A6" w:rsidP="003B47A6">
      <w:pPr>
        <w:rPr>
          <w:lang w:eastAsia="ja-JP"/>
          <w:rPrChange w:id="19" w:author="Spanish" w:date="2015-10-29T11:42:00Z">
            <w:rPr>
              <w:lang w:val="en-US" w:eastAsia="ja-JP"/>
            </w:rPr>
          </w:rPrChange>
        </w:rPr>
      </w:pPr>
      <w:r w:rsidRPr="00E233D0">
        <w:rPr>
          <w:lang w:eastAsia="ja-JP"/>
        </w:rPr>
        <w:t>Atribuir la banda de frecuencias al SM a título primario, bien en el Cuadro de atribución de bandas de frecuencias, bien en una nueva nota, junto con las condiciones técnicas y reglamentarias en una nota/Resolución que incluya la aplicación de los números 9.17, 9.18</w:t>
      </w:r>
      <w:r>
        <w:rPr>
          <w:lang w:eastAsia="ja-JP"/>
        </w:rPr>
        <w:t xml:space="preserve"> y</w:t>
      </w:r>
      <w:r w:rsidRPr="007F2C0A">
        <w:rPr>
          <w:lang w:eastAsia="ja-JP"/>
        </w:rPr>
        <w:t xml:space="preserve"> 9.21 del RR y</w:t>
      </w:r>
      <w:r w:rsidRPr="00E233D0">
        <w:rPr>
          <w:lang w:eastAsia="ja-JP"/>
        </w:rPr>
        <w:t xml:space="preserve"> de los límites de dfp para el SFS y los límites de dfp para el SM del Cuadro 21-4 del RR, así como medidas de </w:t>
      </w:r>
      <w:r w:rsidRPr="00E233D0">
        <w:rPr>
          <w:rStyle w:val="hps"/>
          <w:rPrChange w:id="20" w:author="Spanish" w:date="2015-10-29T11:42:00Z">
            <w:rPr>
              <w:rStyle w:val="hps"/>
              <w:lang w:val="es-ES"/>
            </w:rPr>
          </w:rPrChange>
        </w:rPr>
        <w:t>protección para el</w:t>
      </w:r>
      <w:r w:rsidRPr="00E233D0">
        <w:rPr>
          <w:rPrChange w:id="21" w:author="Spanish" w:date="2015-10-29T11:42:00Z">
            <w:rPr>
              <w:lang w:val="es-ES"/>
            </w:rPr>
          </w:rPrChange>
        </w:rPr>
        <w:t xml:space="preserve"> futuro </w:t>
      </w:r>
      <w:r w:rsidRPr="00E233D0">
        <w:rPr>
          <w:rStyle w:val="hps"/>
          <w:rPrChange w:id="22" w:author="Spanish" w:date="2015-10-29T11:42:00Z">
            <w:rPr>
              <w:rStyle w:val="hps"/>
              <w:lang w:val="es-ES"/>
            </w:rPr>
          </w:rPrChange>
        </w:rPr>
        <w:t>desarrollo del</w:t>
      </w:r>
      <w:r w:rsidRPr="00E233D0">
        <w:rPr>
          <w:rPrChange w:id="23" w:author="Spanish" w:date="2015-10-29T11:42:00Z">
            <w:rPr>
              <w:lang w:val="es-ES"/>
            </w:rPr>
          </w:rPrChange>
        </w:rPr>
        <w:t xml:space="preserve"> </w:t>
      </w:r>
      <w:r w:rsidRPr="00E233D0">
        <w:rPr>
          <w:rStyle w:val="hps"/>
          <w:rPrChange w:id="24" w:author="Spanish" w:date="2015-10-29T11:42:00Z">
            <w:rPr>
              <w:rStyle w:val="hps"/>
              <w:lang w:val="es-ES"/>
            </w:rPr>
          </w:rPrChange>
        </w:rPr>
        <w:t>SFS</w:t>
      </w:r>
      <w:r w:rsidRPr="00E233D0">
        <w:rPr>
          <w:rPrChange w:id="25" w:author="Spanish" w:date="2015-10-29T11:42:00Z">
            <w:rPr>
              <w:lang w:val="es-ES"/>
            </w:rPr>
          </w:rPrChange>
        </w:rPr>
        <w:t xml:space="preserve"> </w:t>
      </w:r>
      <w:r w:rsidRPr="00E233D0">
        <w:rPr>
          <w:rStyle w:val="hps"/>
          <w:rPrChange w:id="26" w:author="Spanish" w:date="2015-10-29T11:42:00Z">
            <w:rPr>
              <w:rStyle w:val="hps"/>
              <w:lang w:val="es-ES"/>
            </w:rPr>
          </w:rPrChange>
        </w:rPr>
        <w:t>en otros</w:t>
      </w:r>
      <w:r w:rsidRPr="00E233D0">
        <w:rPr>
          <w:rPrChange w:id="27" w:author="Spanish" w:date="2015-10-29T11:42:00Z">
            <w:rPr>
              <w:lang w:val="es-ES"/>
            </w:rPr>
          </w:rPrChange>
        </w:rPr>
        <w:t xml:space="preserve"> </w:t>
      </w:r>
      <w:r w:rsidRPr="00E233D0">
        <w:rPr>
          <w:rStyle w:val="hps"/>
          <w:rPrChange w:id="28" w:author="Spanish" w:date="2015-10-29T11:42:00Z">
            <w:rPr>
              <w:rStyle w:val="hps"/>
              <w:lang w:val="es-ES"/>
            </w:rPr>
          </w:rPrChange>
        </w:rPr>
        <w:t>países</w:t>
      </w:r>
      <w:r w:rsidRPr="00E233D0">
        <w:rPr>
          <w:rPrChange w:id="29" w:author="Spanish" w:date="2015-10-29T11:42:00Z">
            <w:rPr>
              <w:lang w:val="es-ES"/>
            </w:rPr>
          </w:rPrChange>
        </w:rPr>
        <w:t>.</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5E3D48" w:rsidP="00D44B91">
      <w:pPr>
        <w:pStyle w:val="ArtNo"/>
      </w:pPr>
      <w:r w:rsidRPr="00245062">
        <w:lastRenderedPageBreak/>
        <w:t xml:space="preserve">ARTÍCULO </w:t>
      </w:r>
      <w:r w:rsidRPr="00245062">
        <w:rPr>
          <w:rStyle w:val="href"/>
        </w:rPr>
        <w:t>5</w:t>
      </w:r>
    </w:p>
    <w:p w:rsidR="00F008F3" w:rsidRPr="00F63BD5" w:rsidRDefault="005E3D48" w:rsidP="00D44B91">
      <w:pPr>
        <w:pStyle w:val="Arttitle"/>
      </w:pPr>
      <w:r w:rsidRPr="00245062">
        <w:t>Atribuciones de frecuencia</w:t>
      </w:r>
    </w:p>
    <w:p w:rsidR="00F008F3" w:rsidRPr="00245062" w:rsidRDefault="005E3D48" w:rsidP="00417F4D">
      <w:pPr>
        <w:pStyle w:val="Section1"/>
      </w:pPr>
      <w:r w:rsidRPr="00245062">
        <w:t xml:space="preserve">Sección IV – </w:t>
      </w:r>
      <w:r w:rsidRPr="00245062">
        <w:t>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55558F" w:rsidRDefault="005E3D48">
      <w:pPr>
        <w:pStyle w:val="Proposal"/>
      </w:pPr>
      <w:r>
        <w:t>MOD</w:t>
      </w:r>
      <w:r>
        <w:tab/>
        <w:t>QAT/60A1/1</w:t>
      </w:r>
    </w:p>
    <w:p w:rsidR="00F008F3" w:rsidRPr="004D72B7" w:rsidRDefault="005E3D48" w:rsidP="00F008F3">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45062" w:rsidTr="004C7C9D">
        <w:trPr>
          <w:cantSplit/>
          <w:trHeight w:val="20"/>
        </w:trPr>
        <w:tc>
          <w:tcPr>
            <w:tcW w:w="9203" w:type="dxa"/>
            <w:gridSpan w:val="3"/>
          </w:tcPr>
          <w:p w:rsidR="00F008F3" w:rsidRPr="00245062" w:rsidRDefault="005E3D48" w:rsidP="004C7C9D">
            <w:pPr>
              <w:pStyle w:val="Tablehead"/>
            </w:pPr>
            <w:r w:rsidRPr="00245062">
              <w:rPr>
                <w:color w:val="000000"/>
              </w:rPr>
              <w:t>Atribución a los servicios</w:t>
            </w:r>
          </w:p>
        </w:tc>
      </w:tr>
      <w:tr w:rsidR="00F008F3" w:rsidRPr="00245062" w:rsidTr="004C7C9D">
        <w:trPr>
          <w:cantSplit/>
          <w:trHeight w:val="20"/>
        </w:trPr>
        <w:tc>
          <w:tcPr>
            <w:tcW w:w="3068" w:type="dxa"/>
          </w:tcPr>
          <w:p w:rsidR="00F008F3" w:rsidRPr="00245062" w:rsidRDefault="005E3D48" w:rsidP="004C7C9D">
            <w:pPr>
              <w:pStyle w:val="Tablehead"/>
            </w:pPr>
            <w:r w:rsidRPr="00245062">
              <w:rPr>
                <w:color w:val="000000"/>
              </w:rPr>
              <w:t>Región 1</w:t>
            </w:r>
          </w:p>
        </w:tc>
        <w:tc>
          <w:tcPr>
            <w:tcW w:w="3067" w:type="dxa"/>
          </w:tcPr>
          <w:p w:rsidR="00F008F3" w:rsidRPr="00245062" w:rsidRDefault="005E3D48" w:rsidP="004C7C9D">
            <w:pPr>
              <w:pStyle w:val="Tablehead"/>
            </w:pPr>
            <w:r w:rsidRPr="00245062">
              <w:rPr>
                <w:color w:val="000000"/>
              </w:rPr>
              <w:t>Región 2</w:t>
            </w:r>
          </w:p>
        </w:tc>
        <w:tc>
          <w:tcPr>
            <w:tcW w:w="3068" w:type="dxa"/>
          </w:tcPr>
          <w:p w:rsidR="00F008F3" w:rsidRPr="00245062" w:rsidRDefault="005E3D48" w:rsidP="004C7C9D">
            <w:pPr>
              <w:pStyle w:val="Tablehead"/>
            </w:pPr>
            <w:r w:rsidRPr="00245062">
              <w:rPr>
                <w:color w:val="000000"/>
              </w:rPr>
              <w:t>Región 3</w:t>
            </w:r>
          </w:p>
        </w:tc>
      </w:tr>
      <w:tr w:rsidR="00F008F3" w:rsidRPr="00245062" w:rsidTr="004C7C9D">
        <w:trPr>
          <w:cantSplit/>
          <w:trHeight w:val="20"/>
        </w:trPr>
        <w:tc>
          <w:tcPr>
            <w:tcW w:w="9203" w:type="dxa"/>
            <w:gridSpan w:val="3"/>
          </w:tcPr>
          <w:p w:rsidR="00F008F3" w:rsidRPr="00245062" w:rsidRDefault="00C2443D" w:rsidP="004C7C9D">
            <w:pPr>
              <w:pStyle w:val="TableTextS5"/>
              <w:spacing w:before="20" w:after="20"/>
              <w:ind w:left="300" w:right="130" w:hanging="170"/>
              <w:rPr>
                <w:color w:val="000000"/>
              </w:rPr>
            </w:pPr>
            <w:r>
              <w:rPr>
                <w:rStyle w:val="Tablefreq"/>
              </w:rPr>
              <w:t>...</w:t>
            </w:r>
          </w:p>
        </w:tc>
      </w:tr>
      <w:tr w:rsidR="00F008F3" w:rsidRPr="00245062"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600</w:t>
            </w:r>
          </w:p>
          <w:p w:rsidR="00F008F3" w:rsidRPr="00245062" w:rsidRDefault="005E3D48" w:rsidP="004C7C9D">
            <w:pPr>
              <w:pStyle w:val="TableTextS5"/>
              <w:spacing w:before="20" w:after="20"/>
              <w:ind w:left="300" w:right="130" w:hanging="170"/>
              <w:rPr>
                <w:color w:val="000000"/>
              </w:rPr>
            </w:pPr>
            <w:r w:rsidRPr="00245062">
              <w:rPr>
                <w:color w:val="000000"/>
              </w:rPr>
              <w:t>FIJO</w:t>
            </w:r>
          </w:p>
          <w:p w:rsidR="00F008F3" w:rsidRPr="00245062" w:rsidRDefault="005E3D48"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5D3BD0" w:rsidP="00EE785A">
            <w:pPr>
              <w:pStyle w:val="TableTextS5"/>
              <w:spacing w:before="20" w:after="20"/>
              <w:ind w:left="300" w:right="130" w:hanging="170"/>
              <w:rPr>
                <w:color w:val="000000"/>
              </w:rPr>
            </w:pPr>
            <w:del w:id="30" w:author="Peral, Fernando" w:date="2015-09-28T15:24:00Z">
              <w:r w:rsidRPr="00E233D0" w:rsidDel="00A57C22">
                <w:rPr>
                  <w:color w:val="000000"/>
                </w:rPr>
                <w:delText>Móvil</w:delText>
              </w:r>
            </w:del>
            <w:ins w:id="31" w:author="Peral, Fernando" w:date="2015-09-28T15:24:00Z">
              <w:r w:rsidRPr="00E233D0">
                <w:rPr>
                  <w:color w:val="000000"/>
                </w:rPr>
                <w:t>MÓVIL salvo móvil aeronáutico</w:t>
              </w:r>
            </w:ins>
            <w:r w:rsidRPr="00245062">
              <w:rPr>
                <w:color w:val="000000"/>
              </w:rPr>
              <w:t xml:space="preserve"> </w:t>
            </w:r>
            <w:r w:rsidRPr="00E233D0">
              <w:rPr>
                <w:rStyle w:val="dnum"/>
              </w:rPr>
              <w:t xml:space="preserve"> </w:t>
            </w:r>
            <w:r>
              <w:rPr>
                <w:rStyle w:val="dnum"/>
              </w:rPr>
              <w:br/>
            </w:r>
            <w:ins w:id="32" w:author="Saez Grau, Ricardo" w:date="2015-09-30T12:05:00Z">
              <w:r w:rsidRPr="00E233D0">
                <w:rPr>
                  <w:rStyle w:val="Artref"/>
                </w:rPr>
                <w:t>MOD</w:t>
              </w:r>
            </w:ins>
            <w:r w:rsidR="00EE785A">
              <w:rPr>
                <w:rStyle w:val="Artref"/>
              </w:rPr>
              <w:t xml:space="preserve">  </w:t>
            </w:r>
            <w:r w:rsidR="005E3D48" w:rsidRPr="00245062">
              <w:rPr>
                <w:color w:val="000000"/>
              </w:rPr>
              <w:t>5.430A</w:t>
            </w:r>
          </w:p>
          <w:p w:rsidR="00F008F3" w:rsidRPr="00245062" w:rsidRDefault="005E3D48" w:rsidP="004C7C9D">
            <w:pPr>
              <w:pStyle w:val="TableTextS5"/>
              <w:spacing w:before="20" w:after="20"/>
              <w:ind w:left="300" w:right="130" w:hanging="170"/>
              <w:rPr>
                <w:color w:val="000000"/>
              </w:rPr>
            </w:pPr>
            <w:r w:rsidRPr="00245062">
              <w:rPr>
                <w:color w:val="000000"/>
              </w:rPr>
              <w:t>Radiolocalización</w:t>
            </w:r>
          </w:p>
          <w:p w:rsidR="00F008F3" w:rsidRPr="00245062" w:rsidRDefault="005E3D48" w:rsidP="004C7C9D">
            <w:pPr>
              <w:pStyle w:val="TableTextS5"/>
              <w:spacing w:before="20" w:after="20"/>
              <w:ind w:left="300" w:right="130" w:hanging="170"/>
              <w:rPr>
                <w:color w:val="000000"/>
              </w:rPr>
            </w:pPr>
          </w:p>
          <w:p w:rsidR="00F008F3" w:rsidRPr="00245062" w:rsidRDefault="005E3D48" w:rsidP="004C7C9D">
            <w:pPr>
              <w:pStyle w:val="TableTextS5"/>
              <w:spacing w:before="20" w:after="20"/>
              <w:ind w:left="300" w:right="130" w:hanging="170"/>
              <w:rPr>
                <w:rStyle w:val="Artref"/>
                <w:color w:val="000000"/>
              </w:rPr>
            </w:pPr>
          </w:p>
          <w:p w:rsidR="00F008F3" w:rsidRPr="00245062" w:rsidRDefault="005E3D48" w:rsidP="004C7C9D">
            <w:pPr>
              <w:pStyle w:val="TableTextS5"/>
              <w:spacing w:before="20" w:after="20"/>
              <w:ind w:left="300" w:right="130" w:hanging="170"/>
              <w:rPr>
                <w:rStyle w:val="Artref"/>
                <w:color w:val="000000"/>
              </w:rPr>
            </w:pPr>
          </w:p>
          <w:p w:rsidR="00F008F3" w:rsidRPr="00245062" w:rsidRDefault="005E3D48" w:rsidP="004C7C9D">
            <w:pPr>
              <w:pStyle w:val="TableTextS5"/>
              <w:spacing w:before="20" w:after="20"/>
              <w:ind w:left="300" w:right="130" w:hanging="170"/>
              <w:rPr>
                <w:rStyle w:val="Artref"/>
                <w:color w:val="000000"/>
              </w:rPr>
            </w:pPr>
          </w:p>
          <w:p w:rsidR="00F008F3" w:rsidRPr="00245062" w:rsidRDefault="005E3D48" w:rsidP="004C7C9D">
            <w:pPr>
              <w:pStyle w:val="TableTextS5"/>
              <w:spacing w:before="20" w:after="20"/>
              <w:ind w:left="300" w:right="130" w:hanging="170"/>
              <w:rPr>
                <w:rStyle w:val="Artref"/>
                <w:color w:val="000000"/>
              </w:rPr>
            </w:pPr>
          </w:p>
          <w:p w:rsidR="00F008F3" w:rsidRPr="00245062" w:rsidRDefault="005E3D48" w:rsidP="004C7C9D">
            <w:pPr>
              <w:pStyle w:val="TableTextS5"/>
              <w:spacing w:before="20" w:after="20"/>
              <w:ind w:left="300" w:right="130" w:hanging="170"/>
              <w:rPr>
                <w:color w:val="000000"/>
              </w:rPr>
            </w:pPr>
          </w:p>
          <w:p w:rsidR="00F008F3" w:rsidRPr="00245062" w:rsidRDefault="005E3D48" w:rsidP="004C7C9D">
            <w:pPr>
              <w:pStyle w:val="TableTextS5"/>
              <w:spacing w:before="20" w:after="20"/>
              <w:ind w:left="300" w:right="130" w:hanging="170"/>
              <w:rPr>
                <w:color w:val="000000"/>
              </w:rPr>
            </w:pPr>
          </w:p>
          <w:p w:rsidR="00EA4D03" w:rsidRPr="00245062" w:rsidRDefault="005E3D48" w:rsidP="004C7C9D">
            <w:pPr>
              <w:pStyle w:val="TableTextS5"/>
              <w:spacing w:before="20" w:after="20"/>
              <w:ind w:left="300" w:right="130" w:hanging="170"/>
              <w:rPr>
                <w:color w:val="000000"/>
              </w:rPr>
            </w:pPr>
          </w:p>
          <w:p w:rsidR="00F008F3" w:rsidRPr="00245062" w:rsidRDefault="005E3D48" w:rsidP="004C7C9D">
            <w:pPr>
              <w:pStyle w:val="TableTextS5"/>
              <w:spacing w:before="20" w:after="20"/>
              <w:ind w:left="108" w:right="130"/>
              <w:rPr>
                <w:color w:val="000000"/>
              </w:rPr>
            </w:pPr>
            <w:r w:rsidRPr="00245062">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500</w:t>
            </w:r>
          </w:p>
          <w:p w:rsidR="00F008F3" w:rsidRPr="00245062" w:rsidRDefault="005E3D48" w:rsidP="004C7C9D">
            <w:pPr>
              <w:pStyle w:val="TableTextS5"/>
              <w:spacing w:before="20" w:after="20"/>
              <w:ind w:left="300" w:right="130" w:hanging="170"/>
              <w:rPr>
                <w:color w:val="000000"/>
              </w:rPr>
            </w:pPr>
            <w:r w:rsidRPr="00245062">
              <w:rPr>
                <w:color w:val="000000"/>
              </w:rPr>
              <w:t>FIJO</w:t>
            </w:r>
          </w:p>
          <w:p w:rsidR="00F008F3" w:rsidRPr="00245062" w:rsidRDefault="005E3D48"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5E3D48" w:rsidP="004C7C9D">
            <w:pPr>
              <w:pStyle w:val="TableTextS5"/>
              <w:spacing w:before="20" w:after="20"/>
              <w:ind w:left="300" w:right="130" w:hanging="170"/>
              <w:rPr>
                <w:color w:val="000000"/>
              </w:rPr>
            </w:pPr>
            <w:r w:rsidRPr="00245062">
              <w:rPr>
                <w:color w:val="000000"/>
              </w:rPr>
              <w:t>Aficionado</w:t>
            </w:r>
          </w:p>
          <w:p w:rsidR="00F008F3" w:rsidRPr="00245062" w:rsidRDefault="005E3D48" w:rsidP="004C7C9D">
            <w:pPr>
              <w:pStyle w:val="TableTextS5"/>
              <w:spacing w:before="20" w:after="20"/>
              <w:ind w:left="300" w:right="130" w:hanging="170"/>
              <w:rPr>
                <w:color w:val="000000"/>
              </w:rPr>
            </w:pPr>
            <w:r w:rsidRPr="00245062">
              <w:rPr>
                <w:color w:val="000000"/>
              </w:rPr>
              <w:t>Móvil  5.431A</w:t>
            </w:r>
          </w:p>
          <w:p w:rsidR="00F008F3" w:rsidRPr="00245062" w:rsidRDefault="005E3D48" w:rsidP="004C7C9D">
            <w:pPr>
              <w:pStyle w:val="TableTextS5"/>
              <w:spacing w:before="20" w:after="20"/>
              <w:ind w:left="300" w:right="130" w:hanging="170"/>
              <w:rPr>
                <w:color w:val="000000"/>
              </w:rPr>
            </w:pPr>
            <w:r w:rsidRPr="00245062">
              <w:rPr>
                <w:color w:val="000000"/>
              </w:rPr>
              <w:t xml:space="preserve">Radiolocalización  </w:t>
            </w:r>
            <w:r w:rsidRPr="00245062">
              <w:rPr>
                <w:rStyle w:val="Artref"/>
                <w:color w:val="000000"/>
              </w:rPr>
              <w:t>5.433</w:t>
            </w:r>
          </w:p>
          <w:p w:rsidR="00F008F3" w:rsidRPr="00245062" w:rsidRDefault="005E3D48" w:rsidP="00EA4D03">
            <w:pPr>
              <w:pStyle w:val="TableTextS5"/>
              <w:tabs>
                <w:tab w:val="clear" w:pos="170"/>
                <w:tab w:val="left" w:pos="43"/>
              </w:tabs>
              <w:spacing w:before="20" w:after="20"/>
              <w:ind w:left="43" w:firstLine="142"/>
              <w:rPr>
                <w:color w:val="000000"/>
              </w:rPr>
            </w:pPr>
            <w:r w:rsidRPr="00245062">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500</w:t>
            </w:r>
          </w:p>
          <w:p w:rsidR="00F008F3" w:rsidRPr="00245062" w:rsidRDefault="005E3D48" w:rsidP="004C7C9D">
            <w:pPr>
              <w:pStyle w:val="TableTextS5"/>
              <w:spacing w:before="20" w:after="20"/>
              <w:ind w:left="300" w:right="130" w:hanging="170"/>
              <w:rPr>
                <w:color w:val="000000"/>
              </w:rPr>
            </w:pPr>
            <w:r w:rsidRPr="00245062">
              <w:rPr>
                <w:color w:val="000000"/>
              </w:rPr>
              <w:t>FIJO</w:t>
            </w:r>
          </w:p>
          <w:p w:rsidR="00F008F3" w:rsidRPr="00245062" w:rsidRDefault="005E3D48"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5E3D48" w:rsidP="004C7C9D">
            <w:pPr>
              <w:pStyle w:val="TableTextS5"/>
              <w:spacing w:before="20" w:after="20"/>
              <w:ind w:left="300" w:right="130" w:hanging="170"/>
              <w:rPr>
                <w:color w:val="000000"/>
              </w:rPr>
            </w:pPr>
            <w:r w:rsidRPr="00245062">
              <w:rPr>
                <w:color w:val="000000"/>
              </w:rPr>
              <w:t>Aficionado</w:t>
            </w:r>
          </w:p>
          <w:p w:rsidR="00F008F3" w:rsidRPr="00245062" w:rsidRDefault="005E3D48" w:rsidP="004C7C9D">
            <w:pPr>
              <w:pStyle w:val="TableTextS5"/>
              <w:spacing w:before="20" w:after="20"/>
              <w:ind w:left="300" w:right="130" w:hanging="170"/>
              <w:rPr>
                <w:color w:val="000000"/>
              </w:rPr>
            </w:pPr>
            <w:r w:rsidRPr="00245062">
              <w:rPr>
                <w:color w:val="000000"/>
              </w:rPr>
              <w:t>Móvil  5.432B</w:t>
            </w:r>
          </w:p>
          <w:p w:rsidR="00F008F3" w:rsidRPr="00245062" w:rsidRDefault="005E3D48" w:rsidP="004C7C9D">
            <w:pPr>
              <w:pStyle w:val="TableTextS5"/>
              <w:spacing w:before="20" w:after="20"/>
              <w:ind w:left="300" w:right="130" w:hanging="170"/>
              <w:rPr>
                <w:rStyle w:val="Artref"/>
                <w:color w:val="000000"/>
              </w:rPr>
            </w:pPr>
            <w:r w:rsidRPr="00245062">
              <w:rPr>
                <w:color w:val="000000"/>
              </w:rPr>
              <w:t xml:space="preserve">Radiolocalización  </w:t>
            </w:r>
            <w:r w:rsidRPr="00245062">
              <w:rPr>
                <w:rStyle w:val="Artref"/>
                <w:color w:val="000000"/>
              </w:rPr>
              <w:t>5.433</w:t>
            </w:r>
          </w:p>
          <w:p w:rsidR="00F008F3" w:rsidRPr="00245062" w:rsidRDefault="005E3D48" w:rsidP="004C7C9D">
            <w:pPr>
              <w:pStyle w:val="TableTextS5"/>
              <w:spacing w:before="20" w:after="20"/>
              <w:ind w:left="300" w:right="130" w:hanging="170"/>
              <w:rPr>
                <w:rStyle w:val="Tablefreq"/>
                <w:b w:val="0"/>
                <w:bCs/>
                <w:color w:val="000000"/>
              </w:rPr>
            </w:pPr>
            <w:r w:rsidRPr="0071678E">
              <w:rPr>
                <w:rStyle w:val="Artref10pt"/>
              </w:rPr>
              <w:t>5.282</w:t>
            </w:r>
            <w:r w:rsidRPr="00245062">
              <w:rPr>
                <w:color w:val="000000"/>
              </w:rPr>
              <w:t xml:space="preserve">  5</w:t>
            </w:r>
            <w:r w:rsidRPr="0071678E">
              <w:rPr>
                <w:rStyle w:val="Artref10pt"/>
              </w:rPr>
              <w:t xml:space="preserve">.432 </w:t>
            </w:r>
            <w:r w:rsidRPr="00245062">
              <w:rPr>
                <w:color w:val="000000"/>
              </w:rPr>
              <w:t xml:space="preserve"> 5.432A</w:t>
            </w:r>
          </w:p>
        </w:tc>
      </w:tr>
      <w:tr w:rsidR="00F008F3" w:rsidRPr="00245062"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500-3</w:t>
            </w:r>
            <w:r w:rsidRPr="00245062">
              <w:rPr>
                <w:rStyle w:val="Tablefreq"/>
                <w:rFonts w:ascii="Tms Rmn" w:hAnsi="Tms Rmn" w:cs="Tms Rmn"/>
                <w:color w:val="000000"/>
                <w:sz w:val="12"/>
                <w:szCs w:val="12"/>
              </w:rPr>
              <w:t> </w:t>
            </w:r>
            <w:r w:rsidRPr="00245062">
              <w:rPr>
                <w:rStyle w:val="Tablefreq"/>
                <w:color w:val="000000"/>
              </w:rPr>
              <w:t>700</w:t>
            </w:r>
          </w:p>
          <w:p w:rsidR="00F008F3" w:rsidRPr="00245062" w:rsidRDefault="005E3D48" w:rsidP="004C7C9D">
            <w:pPr>
              <w:pStyle w:val="TableTextS5"/>
              <w:spacing w:before="20" w:after="20"/>
              <w:ind w:left="300" w:right="130" w:hanging="170"/>
              <w:rPr>
                <w:color w:val="000000"/>
              </w:rPr>
            </w:pPr>
            <w:r w:rsidRPr="00245062">
              <w:rPr>
                <w:color w:val="000000"/>
              </w:rPr>
              <w:t>FIJO</w:t>
            </w:r>
          </w:p>
          <w:p w:rsidR="00F008F3" w:rsidRPr="00245062" w:rsidRDefault="005E3D48"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5E3D48" w:rsidP="004C7C9D">
            <w:pPr>
              <w:pStyle w:val="TableTextS5"/>
              <w:spacing w:before="20" w:after="20"/>
              <w:ind w:left="300" w:right="130" w:hanging="170"/>
              <w:rPr>
                <w:color w:val="000000"/>
              </w:rPr>
            </w:pPr>
            <w:r w:rsidRPr="00245062">
              <w:rPr>
                <w:color w:val="000000"/>
              </w:rPr>
              <w:t>MÓVIL salvo móvil aeronáutico</w:t>
            </w:r>
          </w:p>
          <w:p w:rsidR="00F008F3" w:rsidRPr="00245062" w:rsidRDefault="005E3D48" w:rsidP="004C7C9D">
            <w:pPr>
              <w:pStyle w:val="TableTextS5"/>
              <w:spacing w:before="20" w:after="20"/>
              <w:ind w:left="300" w:right="130" w:hanging="170"/>
              <w:rPr>
                <w:rStyle w:val="Tablefreq"/>
                <w:b w:val="0"/>
                <w:bCs/>
                <w:color w:val="000000"/>
              </w:rPr>
            </w:pPr>
            <w:r w:rsidRPr="00245062">
              <w:rPr>
                <w:color w:val="000000"/>
              </w:rPr>
              <w:t xml:space="preserve">Radiolocalización  </w:t>
            </w:r>
            <w:r w:rsidRPr="0071678E">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500-3</w:t>
            </w:r>
            <w:r w:rsidRPr="00245062">
              <w:rPr>
                <w:rStyle w:val="Tablefreq"/>
                <w:rFonts w:ascii="Tms Rmn" w:hAnsi="Tms Rmn" w:cs="Tms Rmn"/>
                <w:color w:val="000000"/>
                <w:sz w:val="12"/>
                <w:szCs w:val="12"/>
              </w:rPr>
              <w:t> </w:t>
            </w:r>
            <w:r w:rsidRPr="00245062">
              <w:rPr>
                <w:rStyle w:val="Tablefreq"/>
                <w:color w:val="000000"/>
              </w:rPr>
              <w:t>600</w:t>
            </w:r>
          </w:p>
          <w:p w:rsidR="00F008F3" w:rsidRPr="00245062" w:rsidRDefault="005E3D48" w:rsidP="00763D39">
            <w:pPr>
              <w:pStyle w:val="TableTextS5"/>
              <w:spacing w:before="20" w:after="20"/>
              <w:ind w:left="300" w:right="130" w:hanging="170"/>
              <w:rPr>
                <w:color w:val="000000"/>
              </w:rPr>
            </w:pPr>
            <w:r w:rsidRPr="00245062">
              <w:rPr>
                <w:color w:val="000000"/>
              </w:rPr>
              <w:t>FIJO</w:t>
            </w:r>
          </w:p>
          <w:p w:rsidR="00F008F3" w:rsidRPr="00245062" w:rsidRDefault="005E3D48" w:rsidP="00763D39">
            <w:pPr>
              <w:pStyle w:val="TableTextS5"/>
              <w:spacing w:before="20" w:after="20"/>
              <w:ind w:left="300" w:right="130" w:hanging="170"/>
              <w:rPr>
                <w:color w:val="000000"/>
              </w:rPr>
            </w:pPr>
            <w:r w:rsidRPr="00245062">
              <w:rPr>
                <w:color w:val="000000"/>
              </w:rPr>
              <w:t>FIJO POR SATÉLITE</w:t>
            </w:r>
            <w:r w:rsidRPr="00245062">
              <w:rPr>
                <w:color w:val="000000"/>
              </w:rPr>
              <w:br/>
            </w:r>
            <w:r w:rsidRPr="00245062">
              <w:rPr>
                <w:color w:val="000000"/>
              </w:rPr>
              <w:t>(espacio-Tierra)</w:t>
            </w:r>
          </w:p>
          <w:p w:rsidR="00F008F3" w:rsidRPr="00245062" w:rsidRDefault="005E3D48" w:rsidP="004C7C9D">
            <w:pPr>
              <w:pStyle w:val="TableTextS5"/>
              <w:spacing w:before="20" w:after="20"/>
              <w:ind w:left="300" w:right="130" w:hanging="170"/>
              <w:rPr>
                <w:color w:val="000000"/>
              </w:rPr>
            </w:pPr>
            <w:r w:rsidRPr="00245062">
              <w:rPr>
                <w:color w:val="000000"/>
              </w:rPr>
              <w:t>MÓVIL salvo móvil aeronáutico  5.433A</w:t>
            </w:r>
          </w:p>
          <w:p w:rsidR="00F008F3" w:rsidRPr="00245062" w:rsidRDefault="005E3D48" w:rsidP="004C7C9D">
            <w:pPr>
              <w:pStyle w:val="TableTextS5"/>
              <w:spacing w:before="20" w:after="20"/>
              <w:ind w:left="300" w:right="130" w:hanging="170"/>
              <w:rPr>
                <w:rStyle w:val="Tablefreq"/>
                <w:b w:val="0"/>
                <w:bCs/>
                <w:color w:val="000000"/>
              </w:rPr>
            </w:pPr>
            <w:r w:rsidRPr="00245062">
              <w:rPr>
                <w:color w:val="000000"/>
              </w:rPr>
              <w:t xml:space="preserve">Radiolocalización  </w:t>
            </w:r>
            <w:r w:rsidRPr="0071678E">
              <w:rPr>
                <w:rStyle w:val="Artref10pt"/>
              </w:rPr>
              <w:t>5.433</w:t>
            </w:r>
          </w:p>
        </w:tc>
      </w:tr>
      <w:tr w:rsidR="00F008F3" w:rsidRPr="00245062"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600-4</w:t>
            </w:r>
            <w:r w:rsidRPr="00245062">
              <w:rPr>
                <w:rStyle w:val="Tablefreq"/>
                <w:rFonts w:ascii="Tms Rmn" w:hAnsi="Tms Rmn" w:cs="Tms Rmn"/>
                <w:color w:val="000000"/>
                <w:sz w:val="12"/>
                <w:szCs w:val="12"/>
              </w:rPr>
              <w:t> </w:t>
            </w:r>
            <w:r w:rsidRPr="00245062">
              <w:rPr>
                <w:rStyle w:val="Tablefreq"/>
                <w:color w:val="000000"/>
              </w:rPr>
              <w:t>200</w:t>
            </w:r>
          </w:p>
          <w:p w:rsidR="00F008F3" w:rsidRPr="00245062" w:rsidRDefault="005E3D48" w:rsidP="004C7C9D">
            <w:pPr>
              <w:pStyle w:val="TableTextS5"/>
              <w:spacing w:before="20" w:after="20"/>
              <w:ind w:left="300" w:right="130" w:hanging="170"/>
              <w:rPr>
                <w:color w:val="000000"/>
              </w:rPr>
            </w:pPr>
            <w:r w:rsidRPr="00245062">
              <w:rPr>
                <w:color w:val="000000"/>
              </w:rPr>
              <w:t>FIJO</w:t>
            </w:r>
          </w:p>
          <w:p w:rsidR="00F008F3" w:rsidRPr="00245062" w:rsidRDefault="005E3D48"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5E3D48" w:rsidP="004C7C9D">
            <w:pPr>
              <w:pStyle w:val="TableTextS5"/>
              <w:spacing w:before="20" w:after="20"/>
              <w:ind w:left="300" w:right="130" w:hanging="170"/>
              <w:rPr>
                <w:rStyle w:val="Tablefreq"/>
                <w:color w:val="000000"/>
              </w:rPr>
            </w:pPr>
            <w:r w:rsidRPr="00245062">
              <w:rPr>
                <w:color w:val="000000"/>
              </w:rPr>
              <w:t>Móvil</w:t>
            </w:r>
          </w:p>
        </w:tc>
        <w:tc>
          <w:tcPr>
            <w:tcW w:w="3067" w:type="dxa"/>
            <w:tcBorders>
              <w:top w:val="nil"/>
              <w:left w:val="single" w:sz="6"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600-3</w:t>
            </w:r>
            <w:r w:rsidRPr="00245062">
              <w:rPr>
                <w:rStyle w:val="Tablefreq"/>
                <w:rFonts w:ascii="Tms Rmn" w:hAnsi="Tms Rmn" w:cs="Tms Rmn"/>
                <w:color w:val="000000"/>
                <w:sz w:val="12"/>
                <w:szCs w:val="12"/>
              </w:rPr>
              <w:t> </w:t>
            </w:r>
            <w:r w:rsidRPr="00245062">
              <w:rPr>
                <w:rStyle w:val="Tablefreq"/>
                <w:color w:val="000000"/>
              </w:rPr>
              <w:t>700</w:t>
            </w:r>
          </w:p>
          <w:p w:rsidR="00F008F3" w:rsidRPr="00245062" w:rsidRDefault="005E3D48" w:rsidP="004C7C9D">
            <w:pPr>
              <w:pStyle w:val="TableTextS5"/>
              <w:spacing w:before="20" w:after="20"/>
              <w:ind w:left="300" w:right="130" w:hanging="170"/>
              <w:rPr>
                <w:color w:val="000000"/>
              </w:rPr>
            </w:pPr>
            <w:r w:rsidRPr="00245062">
              <w:rPr>
                <w:color w:val="000000"/>
              </w:rPr>
              <w:t>FIJO</w:t>
            </w:r>
          </w:p>
          <w:p w:rsidR="00F008F3" w:rsidRPr="00245062" w:rsidRDefault="005E3D48"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5E3D48" w:rsidP="004C7C9D">
            <w:pPr>
              <w:pStyle w:val="TableTextS5"/>
              <w:spacing w:before="20" w:after="20"/>
              <w:ind w:left="300" w:right="130" w:hanging="170"/>
              <w:rPr>
                <w:color w:val="000000"/>
              </w:rPr>
            </w:pPr>
            <w:r w:rsidRPr="00245062">
              <w:rPr>
                <w:color w:val="000000"/>
              </w:rPr>
              <w:t>MÓVIL salvo móvil aeronáutico</w:t>
            </w:r>
          </w:p>
          <w:p w:rsidR="00F008F3" w:rsidRPr="00245062" w:rsidRDefault="005E3D48" w:rsidP="004C7C9D">
            <w:pPr>
              <w:pStyle w:val="TableTextS5"/>
              <w:spacing w:before="20" w:after="20"/>
              <w:ind w:left="300" w:right="130" w:hanging="170"/>
              <w:rPr>
                <w:color w:val="000000"/>
              </w:rPr>
            </w:pPr>
            <w:r w:rsidRPr="00245062">
              <w:rPr>
                <w:color w:val="000000"/>
              </w:rPr>
              <w:t>Radiolocalización</w:t>
            </w:r>
          </w:p>
          <w:p w:rsidR="00F008F3" w:rsidRPr="0071678E" w:rsidRDefault="005E3D48" w:rsidP="004C7C9D">
            <w:pPr>
              <w:pStyle w:val="TableTextS5"/>
              <w:spacing w:before="20" w:after="20"/>
              <w:ind w:left="300" w:right="130" w:hanging="170"/>
              <w:rPr>
                <w:rStyle w:val="Artref10pt"/>
              </w:rPr>
            </w:pPr>
            <w:r w:rsidRPr="0071678E">
              <w:rPr>
                <w:rStyle w:val="Artref10pt"/>
              </w:rPr>
              <w:t>5.435</w:t>
            </w:r>
          </w:p>
        </w:tc>
      </w:tr>
      <w:tr w:rsidR="00F008F3" w:rsidRPr="00245062"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F008F3" w:rsidRPr="00245062" w:rsidRDefault="005E3D48"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700-4</w:t>
            </w:r>
            <w:r w:rsidRPr="00245062">
              <w:rPr>
                <w:rStyle w:val="Tablefreq"/>
                <w:rFonts w:ascii="Tms Rmn" w:hAnsi="Tms Rmn" w:cs="Tms Rmn"/>
                <w:color w:val="000000"/>
                <w:sz w:val="12"/>
                <w:szCs w:val="12"/>
              </w:rPr>
              <w:t> </w:t>
            </w:r>
            <w:r w:rsidRPr="00245062">
              <w:rPr>
                <w:rStyle w:val="Tablefreq"/>
                <w:color w:val="000000"/>
              </w:rPr>
              <w:t>200</w:t>
            </w:r>
          </w:p>
          <w:p w:rsidR="00F008F3" w:rsidRPr="00245062" w:rsidRDefault="005E3D48" w:rsidP="004C7C9D">
            <w:pPr>
              <w:pStyle w:val="TableTextS5"/>
              <w:spacing w:before="20" w:after="20"/>
              <w:ind w:left="300" w:right="130" w:hanging="170"/>
              <w:rPr>
                <w:color w:val="000000"/>
              </w:rPr>
            </w:pPr>
            <w:r w:rsidRPr="00245062">
              <w:rPr>
                <w:color w:val="000000"/>
              </w:rPr>
              <w:t>FIJO</w:t>
            </w:r>
          </w:p>
          <w:p w:rsidR="00F008F3" w:rsidRPr="00245062" w:rsidRDefault="005E3D48" w:rsidP="004C7C9D">
            <w:pPr>
              <w:pStyle w:val="TableTextS5"/>
              <w:spacing w:before="20" w:after="20"/>
              <w:ind w:left="300" w:right="130" w:hanging="170"/>
              <w:rPr>
                <w:color w:val="000000"/>
              </w:rPr>
            </w:pPr>
            <w:r w:rsidRPr="00245062">
              <w:rPr>
                <w:color w:val="000000"/>
              </w:rPr>
              <w:t>FIJO POR SATÉLITE (espacio-Tierra)</w:t>
            </w:r>
          </w:p>
          <w:p w:rsidR="00F008F3" w:rsidRPr="00245062" w:rsidRDefault="005E3D48" w:rsidP="004C7C9D">
            <w:pPr>
              <w:pStyle w:val="TableTextS5"/>
              <w:spacing w:before="20" w:after="20"/>
              <w:ind w:left="130" w:right="130"/>
              <w:rPr>
                <w:rStyle w:val="Tablefreq"/>
                <w:color w:val="000000"/>
              </w:rPr>
            </w:pPr>
            <w:r w:rsidRPr="00245062">
              <w:rPr>
                <w:color w:val="000000"/>
              </w:rPr>
              <w:t>MÓVIL salvo móvil aeronáutico</w:t>
            </w:r>
          </w:p>
        </w:tc>
      </w:tr>
    </w:tbl>
    <w:p w:rsidR="0055558F" w:rsidRDefault="0055558F">
      <w:pPr>
        <w:pStyle w:val="Reasons"/>
      </w:pPr>
    </w:p>
    <w:p w:rsidR="0055558F" w:rsidRDefault="005E3D48">
      <w:pPr>
        <w:pStyle w:val="Proposal"/>
      </w:pPr>
      <w:r>
        <w:t>MOD</w:t>
      </w:r>
      <w:r>
        <w:tab/>
        <w:t>QAT/60A1/2</w:t>
      </w:r>
    </w:p>
    <w:p w:rsidR="00763D39" w:rsidRPr="00072575" w:rsidRDefault="005E3D48" w:rsidP="00E16B37">
      <w:pPr>
        <w:pStyle w:val="Note"/>
      </w:pPr>
      <w:r w:rsidRPr="00245062">
        <w:rPr>
          <w:rStyle w:val="Artdef"/>
          <w:szCs w:val="24"/>
        </w:rPr>
        <w:t>5.430A</w:t>
      </w:r>
      <w:r w:rsidRPr="00245062">
        <w:rPr>
          <w:b/>
          <w:bCs/>
          <w:szCs w:val="24"/>
        </w:rPr>
        <w:tab/>
      </w:r>
      <w:del w:id="33" w:author="Spanish" w:date="2015-10-29T11:35:00Z">
        <w:r w:rsidR="00635454" w:rsidRPr="007F2C0A" w:rsidDel="0013029E">
          <w:rPr>
            <w:i/>
            <w:iCs/>
          </w:rPr>
          <w:delText xml:space="preserve">Categoría de servicio diferente:  </w:delText>
        </w:r>
        <w:r w:rsidR="00635454" w:rsidRPr="007F2C0A" w:rsidDel="0013029E">
          <w:delText>en Albania, Argelia, Alemania, Andorra, Arabia Saudita, Austria, Azerbaiyán, Bahrein, Bélgica, Benin, Bosnia y Herzegovina, Botswana, Bulgaria, Burkina Faso, Camerún, Chipre, Vaticano, Congo (Rep. del), Côte d'Ivoire, Croacia, Dinamarca, Egipto, España, Estonia, Finlandia, Francia y Departamentos y colecti</w:delText>
        </w:r>
        <w:r w:rsidR="00635454" w:rsidRPr="00E233D0" w:rsidDel="0013029E">
          <w:delText xml:space="preserve">vidades franceses de Ultramar de la Región 1, Gabón, Georgia, Grecia, Guinea, Hungría, Irlanda, Islandia, Israel, Italia, Jordania, Kuwait, Lesotho, Letonia, la ex Rep. Yugoslava de Macedonia, Liechtenstein, Lituania, Malawi, Malí, Malta, Marruecos, Mauritania, Moldova, Mónaco, Mongolia, Montenegro, Mozambique, Namibia, Níger, Noruega, Omán, Países Bajos, Polonia, Portugal, Qatar, República Árabe Siria, </w:delText>
        </w:r>
        <w:r w:rsidR="00635454" w:rsidRPr="00E233D0" w:rsidDel="0013029E">
          <w:lastRenderedPageBreak/>
          <w:delText>Rep. Dem. del Congo, Eslovaquia, Rep. Checa, Rumania, Reino Unido, San Marino, Senegal, Serbia, Sierra Leona, Eslovenia, Sudafricana (Rep.), Suecia, Suiza, Swazilandia, Chad, Togo, Túnez, Turquía, Ucrania, Zambia y Zimbabwe, l</w:delText>
        </w:r>
      </w:del>
      <w:ins w:id="34" w:author="Spanish" w:date="2015-10-29T11:36:00Z">
        <w:r w:rsidR="00635454" w:rsidRPr="00E233D0">
          <w:t>L</w:t>
        </w:r>
      </w:ins>
      <w:r w:rsidR="00635454" w:rsidRPr="00E233D0">
        <w:t xml:space="preserve">a banda 3 400-3 600 MHz está atribuida al servicio móvil, salvo móvil aeronáutico, a título primario, a reserva de obtener </w:t>
      </w:r>
      <w:del w:id="35" w:author="Spanish" w:date="2015-10-29T13:28:00Z">
        <w:r w:rsidR="00635454" w:rsidRPr="00E233D0" w:rsidDel="007F2C0A">
          <w:delText>el acuerdo con</w:delText>
        </w:r>
      </w:del>
      <w:ins w:id="36" w:author="Spanish" w:date="2015-10-29T13:28:00Z">
        <w:r w:rsidR="00635454">
          <w:t>la aprobación de</w:t>
        </w:r>
      </w:ins>
      <w:r w:rsidR="00635454" w:rsidRPr="007F2C0A">
        <w:t xml:space="preserve"> otras administraciones de conformidad con el número</w:t>
      </w:r>
      <w:r w:rsidR="00635454" w:rsidRPr="007F2C0A">
        <w:rPr>
          <w:b/>
          <w:bCs/>
        </w:rPr>
        <w:t xml:space="preserve"> 9.21</w:t>
      </w:r>
      <w:ins w:id="37" w:author="Spanish" w:date="2015-10-29T13:29:00Z">
        <w:r w:rsidR="00635454" w:rsidRPr="005F286A">
          <w:t>.</w:t>
        </w:r>
      </w:ins>
      <w:del w:id="38" w:author="Spanish" w:date="2015-10-29T13:29:00Z">
        <w:r w:rsidR="00635454" w:rsidRPr="007F2C0A" w:rsidDel="007F2C0A">
          <w:delText>,</w:delText>
        </w:r>
      </w:del>
      <w:r w:rsidR="00635454" w:rsidRPr="007F2C0A">
        <w:t xml:space="preserve"> </w:t>
      </w:r>
      <w:del w:id="39" w:author="Spanish" w:date="2015-10-29T13:29:00Z">
        <w:r w:rsidR="00635454" w:rsidRPr="007F2C0A" w:rsidDel="007F2C0A">
          <w:delText>y</w:delText>
        </w:r>
      </w:del>
      <w:ins w:id="40" w:author="Spanish" w:date="2015-10-29T13:29:00Z">
        <w:r w:rsidR="00635454">
          <w:t>Dicha banda</w:t>
        </w:r>
      </w:ins>
      <w:r w:rsidR="00635454" w:rsidRPr="007F2C0A">
        <w:t xml:space="preserve"> está identificada para las Telecomunicaciones Móviles Internacionales (IMT). Esta identificación no impide la utilización de esta banda por cualquier aplicación de los servicios a los que está atribuida, ni establece prioridad alguna en el Reglamento de Radiocomunicaciones. </w:t>
      </w:r>
      <w:del w:id="41" w:author="Spanish" w:date="2015-10-29T11:37:00Z">
        <w:r w:rsidR="00635454" w:rsidRPr="00E233D0" w:rsidDel="0013029E">
          <w:delText>En la etapa de coordinación también se aplican l</w:delText>
        </w:r>
      </w:del>
      <w:ins w:id="42" w:author="Spanish" w:date="2015-10-29T11:37:00Z">
        <w:r w:rsidR="00635454" w:rsidRPr="00E233D0">
          <w:t>L</w:t>
        </w:r>
      </w:ins>
      <w:r w:rsidR="00635454" w:rsidRPr="00E233D0">
        <w:t>as disposiciones de los números</w:t>
      </w:r>
      <w:r w:rsidR="00635454" w:rsidRPr="00E233D0">
        <w:rPr>
          <w:b/>
          <w:bCs/>
        </w:rPr>
        <w:t xml:space="preserve"> 9.17</w:t>
      </w:r>
      <w:r w:rsidR="00635454" w:rsidRPr="00E233D0">
        <w:t xml:space="preserve"> y </w:t>
      </w:r>
      <w:r w:rsidR="00635454" w:rsidRPr="00E233D0">
        <w:rPr>
          <w:b/>
          <w:bCs/>
        </w:rPr>
        <w:t>9.18</w:t>
      </w:r>
      <w:ins w:id="43" w:author="Spanish" w:date="2015-10-29T11:38:00Z">
        <w:r w:rsidR="00635454" w:rsidRPr="00E233D0">
          <w:rPr>
            <w:rPrChange w:id="44" w:author="Spanish" w:date="2015-10-29T11:42:00Z">
              <w:rPr>
                <w:b/>
                <w:bCs/>
              </w:rPr>
            </w:rPrChange>
          </w:rPr>
          <w:t xml:space="preserve"> tam</w:t>
        </w:r>
        <w:r w:rsidR="00635454" w:rsidRPr="007F2C0A">
          <w:t>bién se aplicarán en la etapa de coordinación</w:t>
        </w:r>
      </w:ins>
      <w:r w:rsidR="00635454" w:rsidRPr="007F2C0A">
        <w:t xml:space="preserve">. Antes de que una administración ponga en servicio una estación (de base o móvil) del servicio móvil en esta banda, deberá garantizar que la densidad de flujo de potencia (dfp) producida a 3 m sobre el suelo no supera el valor de </w:t>
      </w:r>
      <w:r w:rsidR="00635454" w:rsidRPr="00E233D0">
        <w:t>−154,5 dB(W/(m</w:t>
      </w:r>
      <w:r w:rsidR="00635454" w:rsidRPr="005E3D48">
        <w:rPr>
          <w:vertAlign w:val="superscript"/>
        </w:rPr>
        <w:t>2</w:t>
      </w:r>
      <w:r w:rsidR="00635454" w:rsidRPr="00E233D0">
        <w:t xml:space="preserve"> </w:t>
      </w:r>
      <w:r w:rsidR="00635454" w:rsidRPr="00E233D0">
        <w:rPr>
          <w:rFonts w:ascii="Cambria Math" w:hAnsi="Cambria Math" w:cs="Cambria Math"/>
        </w:rPr>
        <w:t>⋅</w:t>
      </w:r>
      <w:r w:rsidR="00635454" w:rsidRPr="00E233D0">
        <w:t xml:space="preserve">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w:t>
      </w:r>
      <w:del w:id="45" w:author="Spanish" w:date="2015-10-29T13:30:00Z">
        <w:r w:rsidR="00635454" w:rsidRPr="00E233D0" w:rsidDel="007F2C0A">
          <w:delText>,</w:delText>
        </w:r>
      </w:del>
      <w:r w:rsidR="00635454" w:rsidRPr="00E233D0">
        <w:t xml:space="preserve"> y con la asistencia de la Oficina si así se solicita. En caso de desacuerdo, el cálculo y la verificación de la dfp los realizará la Oficina, teniendo en cuenta la información antes indicada. Las estaciones del servicio móvil en la banda 3 400-3 600 MHz no reclamarán contra las estaciones espaciales más protección que la que figura en el Cuadro </w:t>
      </w:r>
      <w:r w:rsidR="00635454" w:rsidRPr="00E233D0">
        <w:rPr>
          <w:b/>
          <w:bCs/>
        </w:rPr>
        <w:t xml:space="preserve">21-4 </w:t>
      </w:r>
      <w:r w:rsidR="00635454" w:rsidRPr="00E233D0">
        <w:t xml:space="preserve">del Reglamento de Radiocomunicaciones (Edición de </w:t>
      </w:r>
      <w:del w:id="46" w:author="Spanish" w:date="2015-10-29T11:40:00Z">
        <w:r w:rsidR="00635454" w:rsidRPr="00E233D0" w:rsidDel="0013029E">
          <w:delText>2004</w:delText>
        </w:r>
      </w:del>
      <w:ins w:id="47" w:author="Spanish" w:date="2015-10-29T11:40:00Z">
        <w:r w:rsidR="00635454" w:rsidRPr="00E233D0">
          <w:t>2012</w:t>
        </w:r>
      </w:ins>
      <w:r w:rsidR="00635454" w:rsidRPr="00E233D0">
        <w:t xml:space="preserve">). Esta atribución </w:t>
      </w:r>
      <w:del w:id="48" w:author="Spanish" w:date="2015-10-29T11:40:00Z">
        <w:r w:rsidR="00635454" w:rsidRPr="00E233D0" w:rsidDel="0013029E">
          <w:delText xml:space="preserve">está </w:delText>
        </w:r>
      </w:del>
      <w:ins w:id="49" w:author="Spanish" w:date="2015-10-29T11:40:00Z">
        <w:r w:rsidR="00635454" w:rsidRPr="00E233D0">
          <w:t xml:space="preserve">entrará </w:t>
        </w:r>
      </w:ins>
      <w:r w:rsidR="00635454" w:rsidRPr="00E233D0">
        <w:t xml:space="preserve">en vigor </w:t>
      </w:r>
      <w:del w:id="50" w:author="Spanish" w:date="2015-10-29T11:40:00Z">
        <w:r w:rsidR="00635454" w:rsidRPr="00E233D0" w:rsidDel="0013029E">
          <w:delText>desde el 17 de noviembre de 2010</w:delText>
        </w:r>
      </w:del>
      <w:ins w:id="51" w:author="Spanish" w:date="2015-10-29T11:40:00Z">
        <w:r w:rsidR="00635454" w:rsidRPr="00E233D0">
          <w:t>a partir de..</w:t>
        </w:r>
      </w:ins>
      <w:ins w:id="52" w:author="Spanish" w:date="2015-11-01T15:20:00Z">
        <w:r>
          <w:t>..................</w:t>
        </w:r>
      </w:ins>
      <w:bookmarkStart w:id="53" w:name="_GoBack"/>
      <w:bookmarkEnd w:id="53"/>
      <w:r w:rsidR="00635454" w:rsidRPr="00E233D0">
        <w:t xml:space="preserve">    </w:t>
      </w:r>
      <w:r w:rsidR="00E16B37">
        <w:rPr>
          <w:sz w:val="16"/>
        </w:rPr>
        <w:t>  </w:t>
      </w:r>
      <w:r w:rsidR="00E16B37" w:rsidRPr="004046E7">
        <w:rPr>
          <w:sz w:val="16"/>
        </w:rPr>
        <w:t>  (</w:t>
      </w:r>
      <w:r w:rsidR="00E16B37">
        <w:rPr>
          <w:sz w:val="16"/>
        </w:rPr>
        <w:t>C</w:t>
      </w:r>
      <w:r w:rsidR="00E16B37">
        <w:rPr>
          <w:sz w:val="16"/>
        </w:rPr>
        <w:t>MR</w:t>
      </w:r>
      <w:r w:rsidR="00E16B37">
        <w:rPr>
          <w:sz w:val="16"/>
        </w:rPr>
        <w:noBreakHyphen/>
      </w:r>
      <w:del w:id="54" w:author="Jim Colville" w:date="2015-09-15T17:38:00Z">
        <w:r w:rsidR="00E16B37" w:rsidRPr="005B70F3" w:rsidDel="00C76C28">
          <w:rPr>
            <w:sz w:val="16"/>
            <w:lang w:val="en-US"/>
          </w:rPr>
          <w:delText>12</w:delText>
        </w:r>
      </w:del>
      <w:ins w:id="55" w:author="Jim Colville" w:date="2015-09-15T17:38:00Z">
        <w:r w:rsidR="00E16B37" w:rsidRPr="005B70F3">
          <w:rPr>
            <w:sz w:val="16"/>
            <w:lang w:val="en-US"/>
          </w:rPr>
          <w:t>15</w:t>
        </w:r>
      </w:ins>
      <w:r w:rsidR="00E16B37" w:rsidRPr="004046E7">
        <w:rPr>
          <w:sz w:val="16"/>
        </w:rPr>
        <w:t>)</w:t>
      </w:r>
    </w:p>
    <w:p w:rsidR="00635454" w:rsidRDefault="00635454" w:rsidP="0032202E">
      <w:pPr>
        <w:pStyle w:val="Reasons"/>
      </w:pPr>
    </w:p>
    <w:p w:rsidR="00635454" w:rsidRDefault="00635454">
      <w:pPr>
        <w:jc w:val="center"/>
      </w:pPr>
      <w:r>
        <w:t>______________</w:t>
      </w:r>
    </w:p>
    <w:p w:rsidR="0055558F" w:rsidRDefault="0055558F">
      <w:pPr>
        <w:pStyle w:val="Reasons"/>
      </w:pPr>
    </w:p>
    <w:sectPr w:rsidR="0055558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E63A1" w:rsidRDefault="0077084A">
    <w:pPr>
      <w:ind w:right="360"/>
    </w:pPr>
    <w:r>
      <w:fldChar w:fldCharType="begin"/>
    </w:r>
    <w:r w:rsidRPr="004E63A1">
      <w:instrText xml:space="preserve"> FILENAME \p  \* MERGEFORMAT </w:instrText>
    </w:r>
    <w:r>
      <w:fldChar w:fldCharType="separate"/>
    </w:r>
    <w:r w:rsidR="004E63A1">
      <w:rPr>
        <w:noProof/>
      </w:rPr>
      <w:t>P:\ESP\ITU-R\CONF-R\CMR15\000\060ADD01S.docx</w:t>
    </w:r>
    <w:r>
      <w:fldChar w:fldCharType="end"/>
    </w:r>
    <w:r w:rsidRPr="004E63A1">
      <w:tab/>
    </w:r>
    <w:r>
      <w:fldChar w:fldCharType="begin"/>
    </w:r>
    <w:r>
      <w:instrText xml:space="preserve"> SAVEDATE \@ DD.MM.YY </w:instrText>
    </w:r>
    <w:r>
      <w:fldChar w:fldCharType="separate"/>
    </w:r>
    <w:r w:rsidR="004E63A1">
      <w:rPr>
        <w:noProof/>
      </w:rPr>
      <w:t>01.11.15</w:t>
    </w:r>
    <w:r>
      <w:fldChar w:fldCharType="end"/>
    </w:r>
    <w:r w:rsidRPr="004E63A1">
      <w:tab/>
    </w:r>
    <w:r>
      <w:fldChar w:fldCharType="begin"/>
    </w:r>
    <w:r>
      <w:instrText xml:space="preserve"> PRINTDATE \@ DD.MM.YY </w:instrText>
    </w:r>
    <w:r>
      <w:fldChar w:fldCharType="separate"/>
    </w:r>
    <w:r w:rsidR="004E63A1">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37" w:rsidRDefault="004D3E37" w:rsidP="004D3E37">
    <w:pPr>
      <w:pStyle w:val="Footer"/>
    </w:pPr>
    <w:r>
      <w:rPr>
        <w:noProof w:val="0"/>
        <w:sz w:val="24"/>
      </w:rPr>
      <w:fldChar w:fldCharType="begin"/>
    </w:r>
    <w:r>
      <w:instrText xml:space="preserve"> FILENAME \p  \* MERGEFORMAT </w:instrText>
    </w:r>
    <w:r>
      <w:rPr>
        <w:noProof w:val="0"/>
        <w:sz w:val="24"/>
      </w:rPr>
      <w:fldChar w:fldCharType="separate"/>
    </w:r>
    <w:r w:rsidR="004E63A1">
      <w:t>P:\ESP\ITU-R\CONF-R\CMR15\000\060ADD01S.docx</w:t>
    </w:r>
    <w:r>
      <w:fldChar w:fldCharType="end"/>
    </w:r>
    <w:r>
      <w:t xml:space="preserve"> (388305)</w:t>
    </w:r>
    <w:r>
      <w:tab/>
    </w:r>
    <w:r>
      <w:fldChar w:fldCharType="begin"/>
    </w:r>
    <w:r>
      <w:instrText xml:space="preserve"> SAVEDATE \@ DD.MM.YY </w:instrText>
    </w:r>
    <w:r>
      <w:fldChar w:fldCharType="separate"/>
    </w:r>
    <w:r w:rsidR="004E63A1">
      <w:t>01.11.15</w:t>
    </w:r>
    <w:r>
      <w:fldChar w:fldCharType="end"/>
    </w:r>
    <w:r>
      <w:tab/>
    </w:r>
    <w:r>
      <w:fldChar w:fldCharType="begin"/>
    </w:r>
    <w:r>
      <w:instrText xml:space="preserve"> PRINTDATE \@ DD.MM.YY </w:instrText>
    </w:r>
    <w:r>
      <w:fldChar w:fldCharType="separate"/>
    </w:r>
    <w:r w:rsidR="004E63A1">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37" w:rsidRDefault="004D3E37">
    <w:pPr>
      <w:pStyle w:val="Footer"/>
    </w:pPr>
    <w:fldSimple w:instr=" FILENAME \p  \* MERGEFORMAT ">
      <w:r w:rsidR="004E63A1">
        <w:t>P:\ESP\ITU-R\CONF-R\CMR15\000\060ADD01S.docx</w:t>
      </w:r>
    </w:fldSimple>
    <w:r>
      <w:t xml:space="preserve"> (388305)</w:t>
    </w:r>
    <w:r>
      <w:tab/>
    </w:r>
    <w:r>
      <w:fldChar w:fldCharType="begin"/>
    </w:r>
    <w:r>
      <w:instrText xml:space="preserve"> SAVEDATE \@ DD.MM.YY </w:instrText>
    </w:r>
    <w:r>
      <w:fldChar w:fldCharType="separate"/>
    </w:r>
    <w:r w:rsidR="004E63A1">
      <w:t>01.11.15</w:t>
    </w:r>
    <w:r>
      <w:fldChar w:fldCharType="end"/>
    </w:r>
    <w:r>
      <w:tab/>
    </w:r>
    <w:r>
      <w:fldChar w:fldCharType="begin"/>
    </w:r>
    <w:r>
      <w:instrText xml:space="preserve"> PRINTDATE \@ DD.MM.YY </w:instrText>
    </w:r>
    <w:r>
      <w:fldChar w:fldCharType="separate"/>
    </w:r>
    <w:r w:rsidR="004E63A1">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3D48">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60(Add.1)-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eral, Fernando">
    <w15:presenceInfo w15:providerId="AD" w15:userId="S-1-5-21-8740799-900759487-1415713722-19042"/>
  </w15:person>
  <w15:person w15:author="Saez Grau, Ricardo">
    <w15:presenceInfo w15:providerId="AD" w15:userId="S-1-5-21-8740799-900759487-1415713722-35409"/>
  </w15:person>
  <w15:person w15:author="Jim Colville">
    <w15:presenceInfo w15:providerId="Windows Live" w15:userId="e61f1f99e855d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1AA9"/>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B47A6"/>
    <w:rsid w:val="003C2508"/>
    <w:rsid w:val="003D0AA3"/>
    <w:rsid w:val="00440B3A"/>
    <w:rsid w:val="0045384C"/>
    <w:rsid w:val="00454553"/>
    <w:rsid w:val="0048359C"/>
    <w:rsid w:val="004B124A"/>
    <w:rsid w:val="004D3E37"/>
    <w:rsid w:val="004E63A1"/>
    <w:rsid w:val="005133B5"/>
    <w:rsid w:val="00532097"/>
    <w:rsid w:val="0055558F"/>
    <w:rsid w:val="0058350F"/>
    <w:rsid w:val="00583C7E"/>
    <w:rsid w:val="00586F3C"/>
    <w:rsid w:val="005D3BD0"/>
    <w:rsid w:val="005D46FB"/>
    <w:rsid w:val="005E3D48"/>
    <w:rsid w:val="005F2605"/>
    <w:rsid w:val="005F286A"/>
    <w:rsid w:val="005F3B0E"/>
    <w:rsid w:val="005F559C"/>
    <w:rsid w:val="00635454"/>
    <w:rsid w:val="00662BA0"/>
    <w:rsid w:val="00692AAE"/>
    <w:rsid w:val="006D6E67"/>
    <w:rsid w:val="006E1A13"/>
    <w:rsid w:val="00701C20"/>
    <w:rsid w:val="00702F3D"/>
    <w:rsid w:val="0070518E"/>
    <w:rsid w:val="007354E9"/>
    <w:rsid w:val="00765578"/>
    <w:rsid w:val="0077084A"/>
    <w:rsid w:val="007952C7"/>
    <w:rsid w:val="007B482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2443D"/>
    <w:rsid w:val="00C63EB5"/>
    <w:rsid w:val="00CC01E0"/>
    <w:rsid w:val="00CD5FEE"/>
    <w:rsid w:val="00CE60D2"/>
    <w:rsid w:val="00CE7431"/>
    <w:rsid w:val="00D0288A"/>
    <w:rsid w:val="00D72A5D"/>
    <w:rsid w:val="00DC629B"/>
    <w:rsid w:val="00E05BFF"/>
    <w:rsid w:val="00E16B37"/>
    <w:rsid w:val="00E255E8"/>
    <w:rsid w:val="00E262F1"/>
    <w:rsid w:val="00E3176A"/>
    <w:rsid w:val="00E54754"/>
    <w:rsid w:val="00E56BD3"/>
    <w:rsid w:val="00E71D14"/>
    <w:rsid w:val="00EE785A"/>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6C5E8F-9C05-49DF-8257-9D16CAC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hps">
    <w:name w:val="hps"/>
    <w:basedOn w:val="DefaultParagraphFont"/>
    <w:rsid w:val="003B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D604546-951C-4488-9F65-151EAAAA2DC1}">
  <ds:schemaRefs>
    <ds:schemaRef ds:uri="996b2e75-67fd-4955-a3b0-5ab9934cb50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18FD8DDE-FB33-4840-B65D-9C490C45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R15-WRC15-C-0060!A1!MSW-S</vt:lpstr>
    </vt:vector>
  </TitlesOfParts>
  <Manager>Secretaría General - Pool</Manager>
  <Company>Unión Internacional de Telecomunicaciones (UIT)</Company>
  <LinksUpToDate>false</LinksUpToDate>
  <CharactersWithSpaces>8418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R15-WRC15-C-0060!A1!MSW-S</dc:title>
  <dc:subject>Conferencia Mundial de Radiocomunicaciones - 2015</dc:subject>
  <dc:creator>Documents Proposals Manager (DPM)</dc:creator>
  <cp:keywords>DPM_v5.2015.10.8_prod</cp:keywords>
  <dc:description/>
  <cp:lastModifiedBy>Spanish</cp:lastModifiedBy>
  <cp:revision>15</cp:revision>
  <cp:lastPrinted>2015-11-01T14:08:00Z</cp:lastPrinted>
  <dcterms:created xsi:type="dcterms:W3CDTF">2015-11-01T13:57:00Z</dcterms:created>
  <dcterms:modified xsi:type="dcterms:W3CDTF">2015-11-01T14:20:00Z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