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6 to</w:t>
            </w:r>
            <w:r>
              <w:rPr>
                <w:rFonts w:ascii="Verdana" w:eastAsia="SimSun" w:hAnsi="Verdana" w:cs="Traditional Arabic"/>
                <w:b/>
                <w:sz w:val="20"/>
              </w:rPr>
              <w:br/>
              <w:t>Document 61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 xml:space="preserve">Iran </w:t>
            </w:r>
            <w:bookmarkStart w:id="8" w:name="_GoBack"/>
            <w:bookmarkEnd w:id="8"/>
            <w:r>
              <w:t>(Islamic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1.6</w:t>
            </w:r>
          </w:p>
        </w:tc>
      </w:tr>
    </w:tbl>
    <w:bookmarkEnd w:id="6"/>
    <w:bookmarkEnd w:id="7"/>
    <w:p w:rsidR="0010142A" w:rsidRDefault="004C5828" w:rsidP="009C5596">
      <w:r w:rsidRPr="009A2B70">
        <w:t>1.6</w:t>
      </w:r>
      <w:r w:rsidRPr="009A2B70">
        <w:tab/>
        <w:t>to consider possible additional primary allocations:</w:t>
      </w:r>
    </w:p>
    <w:p w:rsidR="00F43B6A" w:rsidRPr="009A2B70" w:rsidRDefault="00F43B6A" w:rsidP="0010142A">
      <w:pPr>
        <w:overflowPunct/>
        <w:autoSpaceDE/>
        <w:autoSpaceDN/>
        <w:adjustRightInd/>
        <w:textAlignment w:val="auto"/>
      </w:pPr>
      <w:r w:rsidRPr="004F51E5">
        <w:t>1.6.1</w:t>
      </w:r>
      <w:r w:rsidRPr="004F51E5">
        <w:tab/>
        <w:t>to the fixed-satellite service (Earth-to-space and space-to-Earth) of 250 MHz in the range between 10 GHz and 17 GHz in Region 1;</w:t>
      </w:r>
    </w:p>
    <w:p w:rsidR="00FD3324" w:rsidRPr="009A2B70" w:rsidRDefault="004C5828" w:rsidP="00FD3324">
      <w:pPr>
        <w:overflowPunct/>
        <w:autoSpaceDE/>
        <w:autoSpaceDN/>
        <w:adjustRightInd/>
        <w:textAlignment w:val="auto"/>
      </w:pPr>
      <w:r w:rsidRPr="009A2B70">
        <w:t>1.6.2</w:t>
      </w:r>
      <w:r w:rsidRPr="009A2B70">
        <w:tab/>
        <w:t>to the fixed-satellite service (Earth-to-space) of 250 MHz in Region 2 and 300 MHz in Region 3 within the range 13-17 GHz;</w:t>
      </w:r>
    </w:p>
    <w:p w:rsidR="00CE7156" w:rsidRDefault="004C5828" w:rsidP="00CE7156">
      <w:pPr>
        <w:overflowPunct/>
        <w:autoSpaceDE/>
        <w:autoSpaceDN/>
        <w:adjustRightInd/>
        <w:textAlignment w:val="auto"/>
        <w:rPr>
          <w:bCs/>
        </w:rPr>
      </w:pPr>
      <w:r w:rsidRPr="009A2B70">
        <w:t>and review the regulatory provisions on the current allocations to the fixed-satellite service within each range, taking into account the results of ITU</w:t>
      </w:r>
      <w:r w:rsidRPr="009A2B70">
        <w:noBreakHyphen/>
        <w:t>R studies, in accordance with Resolutions </w:t>
      </w:r>
      <w:r w:rsidRPr="009A2B70">
        <w:rPr>
          <w:b/>
          <w:bCs/>
        </w:rPr>
        <w:t>151 (WRC</w:t>
      </w:r>
      <w:r w:rsidRPr="009A2B70">
        <w:rPr>
          <w:b/>
          <w:bCs/>
        </w:rPr>
        <w:noBreakHyphen/>
        <w:t>12)</w:t>
      </w:r>
      <w:r w:rsidRPr="009A2B70">
        <w:t xml:space="preserve"> and </w:t>
      </w:r>
      <w:r w:rsidRPr="009A2B70">
        <w:rPr>
          <w:b/>
          <w:bCs/>
        </w:rPr>
        <w:t>152 (WRC</w:t>
      </w:r>
      <w:r w:rsidRPr="009A2B70">
        <w:rPr>
          <w:b/>
          <w:bCs/>
        </w:rPr>
        <w:noBreakHyphen/>
        <w:t>12)</w:t>
      </w:r>
      <w:r w:rsidRPr="009A2B70">
        <w:t>, respectively</w:t>
      </w:r>
      <w:r w:rsidRPr="009A2B70">
        <w:rPr>
          <w:bCs/>
        </w:rPr>
        <w:t>;</w:t>
      </w:r>
    </w:p>
    <w:p w:rsidR="009C5596" w:rsidRPr="009A2B70" w:rsidRDefault="009C5596" w:rsidP="00CE7156">
      <w:pPr>
        <w:overflowPunct/>
        <w:autoSpaceDE/>
        <w:autoSpaceDN/>
        <w:adjustRightInd/>
        <w:textAlignment w:val="auto"/>
        <w:rPr>
          <w:bCs/>
        </w:rPr>
      </w:pPr>
    </w:p>
    <w:p w:rsidR="00F43B6A" w:rsidRPr="002548C4" w:rsidRDefault="00F43B6A" w:rsidP="00F43B6A">
      <w:pPr>
        <w:pStyle w:val="Headingb"/>
        <w:rPr>
          <w:lang w:val="en-GB"/>
        </w:rPr>
      </w:pPr>
      <w:r w:rsidRPr="002548C4">
        <w:rPr>
          <w:lang w:val="en-GB"/>
        </w:rPr>
        <w:t>Background</w:t>
      </w:r>
    </w:p>
    <w:p w:rsidR="00F43B6A" w:rsidRDefault="00F43B6A" w:rsidP="003D7BD2">
      <w:pPr>
        <w:rPr>
          <w:rFonts w:eastAsia="Calibri"/>
        </w:rPr>
      </w:pPr>
      <w:r>
        <w:rPr>
          <w:rFonts w:eastAsia="Calibri"/>
        </w:rPr>
        <w:t>In order to fulfil agenda item 1.6.1, ITU-R has undertaken studies of possible bands for new primary allocations to the fixed-satellite service (FSS) in the Earth-to-space and space-to-Earth directions within the frequency range 10-17 GHz in ITU Region 1. Studies were performed in 11</w:t>
      </w:r>
      <w:r w:rsidR="003D7BD2">
        <w:rPr>
          <w:rFonts w:eastAsia="Calibri"/>
        </w:rPr>
        <w:t> </w:t>
      </w:r>
      <w:r>
        <w:rPr>
          <w:rFonts w:eastAsia="Calibri"/>
        </w:rPr>
        <w:t xml:space="preserve">different sub-bands from 10 to 17 GHz, and the analysis of the results of the studies and the methods to satisfy the agenda item can be found in section 4.1/1.6.1/4 and section 4.1/1.6.1/5 of </w:t>
      </w:r>
      <w:r w:rsidR="002548C4">
        <w:rPr>
          <w:rFonts w:eastAsia="Calibri"/>
        </w:rPr>
        <w:t>the CPM R</w:t>
      </w:r>
      <w:r>
        <w:rPr>
          <w:rFonts w:eastAsia="Calibri"/>
        </w:rPr>
        <w:t>eport, respectively. Also ITU-R has undertaken studies of possible bands for new primary allocations to the FSS in the Earth</w:t>
      </w:r>
      <w:r>
        <w:rPr>
          <w:rFonts w:eastAsia="Calibri" w:hint="cs"/>
          <w:rtl/>
        </w:rPr>
        <w:t xml:space="preserve"> </w:t>
      </w:r>
      <w:r>
        <w:rPr>
          <w:rFonts w:eastAsia="Calibri"/>
        </w:rPr>
        <w:t>to-space directio</w:t>
      </w:r>
      <w:r w:rsidR="004C5828">
        <w:rPr>
          <w:rFonts w:eastAsia="Calibri"/>
        </w:rPr>
        <w:t>n within the frequency range 13</w:t>
      </w:r>
      <w:r w:rsidR="004C5828">
        <w:rPr>
          <w:rFonts w:eastAsia="Calibri"/>
        </w:rPr>
        <w:noBreakHyphen/>
        <w:t>17 </w:t>
      </w:r>
      <w:r>
        <w:rPr>
          <w:rFonts w:eastAsia="Calibri"/>
        </w:rPr>
        <w:t>GHz in ITU Regions 2 and 3. Studies were performed in 8 different sub-bands from 13 to 17 GHz, and the analysis of the results of the studies and the methods to satisfy the agenda item can be found in section 4.1/1.6.2/4 and sectio</w:t>
      </w:r>
      <w:r w:rsidR="002548C4">
        <w:rPr>
          <w:rFonts w:eastAsia="Calibri"/>
        </w:rPr>
        <w:t>n 4.1/1.6.2/5 of the CPM R</w:t>
      </w:r>
      <w:r>
        <w:rPr>
          <w:rFonts w:eastAsia="Calibri"/>
        </w:rPr>
        <w:t>eport respectively.</w:t>
      </w:r>
    </w:p>
    <w:p w:rsidR="00F43B6A" w:rsidRPr="002D5781" w:rsidRDefault="002548C4" w:rsidP="00F43B6A">
      <w:pPr>
        <w:rPr>
          <w:color w:val="000000"/>
        </w:rPr>
      </w:pPr>
      <w:r>
        <w:rPr>
          <w:color w:val="000000"/>
        </w:rPr>
        <w:t>According to this R</w:t>
      </w:r>
      <w:r w:rsidR="00F43B6A">
        <w:rPr>
          <w:color w:val="000000"/>
        </w:rPr>
        <w:t>eport, t</w:t>
      </w:r>
      <w:r w:rsidR="00F43B6A" w:rsidRPr="002D5781">
        <w:rPr>
          <w:color w:val="000000"/>
        </w:rPr>
        <w:t>he existing unplanned FSS bands in the 1</w:t>
      </w:r>
      <w:r w:rsidR="00F43B6A">
        <w:rPr>
          <w:color w:val="000000"/>
        </w:rPr>
        <w:t>3</w:t>
      </w:r>
      <w:r w:rsidR="00F43B6A" w:rsidRPr="002D5781">
        <w:rPr>
          <w:color w:val="000000"/>
        </w:rPr>
        <w:t>-1</w:t>
      </w:r>
      <w:r w:rsidR="00F43B6A">
        <w:rPr>
          <w:color w:val="000000"/>
        </w:rPr>
        <w:t>7</w:t>
      </w:r>
      <w:r w:rsidR="00F43B6A" w:rsidRPr="002D5781">
        <w:rPr>
          <w:color w:val="000000"/>
        </w:rPr>
        <w:t xml:space="preserve"> GHz range </w:t>
      </w:r>
      <w:r w:rsidR="00F43B6A">
        <w:rPr>
          <w:color w:val="000000"/>
        </w:rPr>
        <w:t xml:space="preserve">in all Regions </w:t>
      </w:r>
      <w:r w:rsidR="00F43B6A" w:rsidRPr="002D5781">
        <w:rPr>
          <w:color w:val="000000"/>
        </w:rPr>
        <w:t xml:space="preserve">are used extensively for a </w:t>
      </w:r>
      <w:r w:rsidR="00F43B6A">
        <w:t>large variety of applications</w:t>
      </w:r>
      <w:r w:rsidR="00F43B6A">
        <w:rPr>
          <w:color w:val="000000"/>
        </w:rPr>
        <w:t>.</w:t>
      </w:r>
      <w:r w:rsidR="00F43B6A" w:rsidRPr="002D5781">
        <w:rPr>
          <w:color w:val="000000"/>
        </w:rPr>
        <w:t xml:space="preserve"> Growth in demand for these applications has triggered a rapid rise in the demand for </w:t>
      </w:r>
      <w:r w:rsidR="00F43B6A">
        <w:rPr>
          <w:color w:val="000000"/>
        </w:rPr>
        <w:t xml:space="preserve">the </w:t>
      </w:r>
      <w:r w:rsidR="00F43B6A" w:rsidRPr="002D5781">
        <w:rPr>
          <w:color w:val="000000"/>
        </w:rPr>
        <w:t>spectrum. Moreover, as satellite traffic is typically symmetrical in a large variety of applications</w:t>
      </w:r>
      <w:r w:rsidR="00F43B6A">
        <w:rPr>
          <w:color w:val="000000"/>
        </w:rPr>
        <w:t xml:space="preserve">, </w:t>
      </w:r>
      <w:r w:rsidR="00F43B6A" w:rsidRPr="002D5781">
        <w:rPr>
          <w:color w:val="000000"/>
        </w:rPr>
        <w:t>similar amounts of Earth</w:t>
      </w:r>
      <w:r w:rsidR="00F43B6A" w:rsidRPr="002D5781">
        <w:rPr>
          <w:color w:val="000000"/>
        </w:rPr>
        <w:noBreakHyphen/>
        <w:t>to</w:t>
      </w:r>
      <w:r w:rsidR="00F43B6A" w:rsidRPr="002D5781">
        <w:rPr>
          <w:color w:val="000000"/>
        </w:rPr>
        <w:noBreakHyphen/>
      </w:r>
      <w:r w:rsidR="00F43B6A">
        <w:rPr>
          <w:color w:val="000000"/>
        </w:rPr>
        <w:t>S</w:t>
      </w:r>
      <w:r w:rsidR="00F43B6A" w:rsidRPr="002D5781">
        <w:rPr>
          <w:color w:val="000000"/>
        </w:rPr>
        <w:t>pace (uplink) and space-to-Earth (downlink) traffic are transmitted.</w:t>
      </w:r>
    </w:p>
    <w:p w:rsidR="00F43B6A" w:rsidRDefault="00F43B6A" w:rsidP="00F43B6A">
      <w:pPr>
        <w:tabs>
          <w:tab w:val="clear" w:pos="1134"/>
          <w:tab w:val="clear" w:pos="1871"/>
          <w:tab w:val="clear" w:pos="2268"/>
        </w:tabs>
        <w:overflowPunct/>
        <w:autoSpaceDE/>
        <w:autoSpaceDN/>
        <w:adjustRightInd/>
        <w:spacing w:before="0"/>
        <w:textAlignment w:val="auto"/>
        <w:rPr>
          <w:rFonts w:eastAsia="MS Mincho"/>
          <w:lang w:bidi="th-TH"/>
        </w:rPr>
      </w:pPr>
      <w:r w:rsidRPr="002D5781">
        <w:rPr>
          <w:color w:val="000000"/>
        </w:rPr>
        <w:lastRenderedPageBreak/>
        <w:t>WRC-12 adopted WRC-15 agenda item 1.6 to consider additional primary allocations to the FSS and a review of regulatory provisions for existing FSS allocations, taking into account ITU-R studies in accordance with</w:t>
      </w:r>
      <w:r w:rsidRPr="00192A5F">
        <w:rPr>
          <w:rFonts w:eastAsia="MS Mincho"/>
          <w:lang w:bidi="th-TH"/>
        </w:rPr>
        <w:t xml:space="preserve"> </w:t>
      </w:r>
      <w:r w:rsidRPr="002D5781">
        <w:rPr>
          <w:color w:val="000000"/>
        </w:rPr>
        <w:t>Resolution</w:t>
      </w:r>
      <w:r w:rsidRPr="00192A5F">
        <w:rPr>
          <w:rFonts w:eastAsia="MS Mincho"/>
          <w:b/>
          <w:lang w:bidi="th-TH"/>
        </w:rPr>
        <w:t xml:space="preserve"> </w:t>
      </w:r>
      <w:r w:rsidRPr="0076781E">
        <w:rPr>
          <w:rFonts w:eastAsia="MS Mincho"/>
          <w:bCs/>
          <w:lang w:bidi="th-TH"/>
        </w:rPr>
        <w:t>152 (WRC-12).</w:t>
      </w:r>
    </w:p>
    <w:p w:rsidR="00F43B6A" w:rsidRPr="002548C4" w:rsidRDefault="00F43B6A" w:rsidP="00F43B6A">
      <w:pPr>
        <w:pStyle w:val="Headingb"/>
        <w:rPr>
          <w:lang w:val="en-GB"/>
        </w:rPr>
      </w:pPr>
      <w:r w:rsidRPr="002548C4">
        <w:rPr>
          <w:lang w:val="en-GB"/>
        </w:rPr>
        <w:t>Discussion</w:t>
      </w:r>
    </w:p>
    <w:p w:rsidR="00F43B6A" w:rsidRDefault="00F43B6A" w:rsidP="00F43B6A">
      <w:pPr>
        <w:rPr>
          <w:rFonts w:eastAsia="MS Mincho"/>
          <w:lang w:bidi="th-TH"/>
        </w:rPr>
      </w:pPr>
      <w:r>
        <w:rPr>
          <w:rFonts w:eastAsia="MS Mincho"/>
          <w:lang w:bidi="th-TH"/>
        </w:rPr>
        <w:t>According to breakdown</w:t>
      </w:r>
      <w:r w:rsidRPr="007308F2">
        <w:rPr>
          <w:rFonts w:eastAsia="MS Mincho"/>
          <w:lang w:bidi="th-TH"/>
        </w:rPr>
        <w:t xml:space="preserve"> </w:t>
      </w:r>
      <w:r>
        <w:rPr>
          <w:rFonts w:eastAsia="MS Mincho"/>
          <w:lang w:bidi="th-TH"/>
        </w:rPr>
        <w:t xml:space="preserve">which has been done for </w:t>
      </w:r>
      <w:r w:rsidRPr="007308F2">
        <w:rPr>
          <w:rFonts w:eastAsia="MS Mincho"/>
          <w:lang w:bidi="th-TH"/>
        </w:rPr>
        <w:t xml:space="preserve">possible </w:t>
      </w:r>
      <w:r>
        <w:rPr>
          <w:rFonts w:eastAsia="MS Mincho"/>
          <w:lang w:bidi="th-TH"/>
        </w:rPr>
        <w:t xml:space="preserve">candidate </w:t>
      </w:r>
      <w:r w:rsidRPr="007308F2">
        <w:rPr>
          <w:rFonts w:eastAsia="MS Mincho"/>
          <w:lang w:bidi="th-TH"/>
        </w:rPr>
        <w:t>bands for a new primary allocation to the fixed-satellite service</w:t>
      </w:r>
      <w:r>
        <w:rPr>
          <w:rFonts w:eastAsia="MS Mincho"/>
          <w:lang w:bidi="th-TH"/>
        </w:rPr>
        <w:t>, some sub-bands has been proposed for each agenda item (1.6.1 and 1.6.2) and sharing studies for each sub-band has been carried out based on peculiarities of each specific service. Variety of services including ARNS, AMS, BSS, MS, EESS, FS, SRS</w:t>
      </w:r>
      <w:r w:rsidDel="00C11DC3">
        <w:rPr>
          <w:rFonts w:eastAsia="MS Mincho"/>
          <w:lang w:bidi="th-TH"/>
        </w:rPr>
        <w:t xml:space="preserve"> </w:t>
      </w:r>
      <w:r>
        <w:rPr>
          <w:rFonts w:eastAsia="MS Mincho"/>
          <w:lang w:bidi="th-TH"/>
        </w:rPr>
        <w:t>are allocated in each frequency band. Some of these services such as ARNS and AMS have played a vital role in human life. BSS is</w:t>
      </w:r>
      <w:r w:rsidDel="007848B5">
        <w:rPr>
          <w:rFonts w:eastAsia="MS Mincho"/>
          <w:lang w:bidi="th-TH"/>
        </w:rPr>
        <w:t xml:space="preserve"> </w:t>
      </w:r>
      <w:r>
        <w:rPr>
          <w:rFonts w:eastAsia="MS Mincho"/>
          <w:lang w:bidi="th-TH"/>
        </w:rPr>
        <w:t>another major service which has had priority because of its importance for large public audiences.</w:t>
      </w:r>
    </w:p>
    <w:p w:rsidR="00F43B6A" w:rsidRDefault="00F43B6A" w:rsidP="00264A05">
      <w:pPr>
        <w:rPr>
          <w:rFonts w:eastAsia="MS Mincho"/>
          <w:lang w:bidi="th-TH"/>
        </w:rPr>
      </w:pPr>
      <w:r>
        <w:rPr>
          <w:rFonts w:eastAsia="MS Mincho"/>
          <w:lang w:bidi="th-TH"/>
        </w:rPr>
        <w:t xml:space="preserve">One of the candidate bands for both 1.6.1 and 1.6.2 agenda items is the band 14.5-14.8 GHz which is already allocated to AMS and BSS services is some regions. Although Study Group </w:t>
      </w:r>
      <w:r w:rsidR="00264A05">
        <w:rPr>
          <w:rFonts w:eastAsia="MS Mincho"/>
          <w:lang w:bidi="th-TH"/>
        </w:rPr>
        <w:t>4 (WP </w:t>
      </w:r>
      <w:r>
        <w:rPr>
          <w:rFonts w:eastAsia="MS Mincho"/>
          <w:lang w:bidi="th-TH"/>
        </w:rPr>
        <w:t>4A</w:t>
      </w:r>
      <w:r w:rsidR="00264A05">
        <w:rPr>
          <w:rFonts w:eastAsia="MS Mincho"/>
          <w:lang w:bidi="th-TH"/>
        </w:rPr>
        <w:t>)</w:t>
      </w:r>
      <w:r>
        <w:rPr>
          <w:rFonts w:eastAsia="MS Mincho"/>
          <w:lang w:bidi="th-TH"/>
        </w:rPr>
        <w:t xml:space="preserve"> completed its study to find possible additional primary allocation for FSS and considered all sharing scenarios between incoming FSS and other available services, some concerns are existing in the band 14.5-14.8 GHz.</w:t>
      </w:r>
    </w:p>
    <w:p w:rsidR="00F43B6A" w:rsidRDefault="00F43B6A" w:rsidP="003D7BD2">
      <w:pPr>
        <w:rPr>
          <w:rFonts w:eastAsia="MS Mincho"/>
          <w:lang w:bidi="th-TH"/>
        </w:rPr>
      </w:pPr>
      <w:r>
        <w:rPr>
          <w:rFonts w:eastAsia="MS Mincho"/>
          <w:lang w:bidi="th-TH"/>
        </w:rPr>
        <w:t>Today, w</w:t>
      </w:r>
      <w:r w:rsidRPr="00CB7999">
        <w:rPr>
          <w:rFonts w:eastAsia="MS Mincho"/>
          <w:lang w:bidi="th-TH"/>
        </w:rPr>
        <w:t xml:space="preserve">ith respect to the RR No. </w:t>
      </w:r>
      <w:r w:rsidRPr="0076781E">
        <w:rPr>
          <w:rFonts w:eastAsia="MS Mincho"/>
          <w:lang w:bidi="th-TH"/>
        </w:rPr>
        <w:t>5.510</w:t>
      </w:r>
      <w:r>
        <w:rPr>
          <w:rFonts w:eastAsia="MS Mincho"/>
          <w:lang w:bidi="th-TH"/>
        </w:rPr>
        <w:t>, us</w:t>
      </w:r>
      <w:r w:rsidR="003D7BD2">
        <w:rPr>
          <w:rFonts w:eastAsia="MS Mincho"/>
          <w:lang w:bidi="th-TH"/>
        </w:rPr>
        <w:t>age</w:t>
      </w:r>
      <w:r>
        <w:rPr>
          <w:rFonts w:eastAsia="MS Mincho"/>
          <w:lang w:bidi="th-TH"/>
        </w:rPr>
        <w:t xml:space="preserve"> of this band is limited to BSS feeder links, outside Europe. ITU-R data base indicates that there are 22 Plan assignments, 16 List assignments and 106 filing yet to be coordinated in this band. Also the Director</w:t>
      </w:r>
      <w:r w:rsidR="00264A05">
        <w:rPr>
          <w:rFonts w:eastAsia="MS Mincho"/>
          <w:lang w:bidi="th-TH"/>
        </w:rPr>
        <w:t>'s R</w:t>
      </w:r>
      <w:r>
        <w:rPr>
          <w:rFonts w:eastAsia="MS Mincho"/>
          <w:lang w:bidi="th-TH"/>
        </w:rPr>
        <w:t>eport (</w:t>
      </w:r>
      <w:r w:rsidRPr="00387569">
        <w:rPr>
          <w:rFonts w:eastAsia="MS Mincho"/>
          <w:lang w:bidi="th-TH"/>
        </w:rPr>
        <w:t>Document CPM15-2/41-E</w:t>
      </w:r>
      <w:r>
        <w:rPr>
          <w:rFonts w:eastAsia="MS Mincho"/>
          <w:lang w:bidi="th-TH"/>
        </w:rPr>
        <w:t>) about c</w:t>
      </w:r>
      <w:r w:rsidRPr="00387569">
        <w:rPr>
          <w:rFonts w:eastAsia="MS Mincho"/>
          <w:lang w:bidi="th-TH"/>
        </w:rPr>
        <w:t xml:space="preserve">hange in the Reference Situation (EPM) between WRC-2000 and March 2015 for Regions 1 </w:t>
      </w:r>
      <w:r w:rsidR="003D7BD2">
        <w:rPr>
          <w:rFonts w:eastAsia="MS Mincho"/>
          <w:lang w:bidi="th-TH"/>
        </w:rPr>
        <w:t>and</w:t>
      </w:r>
      <w:r w:rsidRPr="00387569">
        <w:rPr>
          <w:rFonts w:eastAsia="MS Mincho"/>
          <w:lang w:bidi="th-TH"/>
        </w:rPr>
        <w:t xml:space="preserve"> 3 Plan Beams in Appendices 30 and 30A</w:t>
      </w:r>
      <w:r>
        <w:rPr>
          <w:rFonts w:eastAsia="MS Mincho"/>
          <w:lang w:bidi="th-TH"/>
        </w:rPr>
        <w:t xml:space="preserve"> addresses significant decrease in EPM values of some Networks of some countries in</w:t>
      </w:r>
      <w:r w:rsidR="003D7BD2">
        <w:rPr>
          <w:rFonts w:eastAsia="MS Mincho"/>
          <w:lang w:bidi="th-TH"/>
        </w:rPr>
        <w:t xml:space="preserve"> </w:t>
      </w:r>
      <w:r>
        <w:rPr>
          <w:rFonts w:eastAsia="MS Mincho"/>
          <w:lang w:bidi="th-TH"/>
        </w:rPr>
        <w:t xml:space="preserve">14 GHz band with currently negative value for EPM for BSS Plan assignments of at least two countries. Lower EPM cause many </w:t>
      </w:r>
      <w:r w:rsidR="009C5596">
        <w:rPr>
          <w:rFonts w:eastAsia="MS Mincho"/>
          <w:lang w:bidi="th-TH"/>
        </w:rPr>
        <w:t>unfavourable</w:t>
      </w:r>
      <w:r>
        <w:rPr>
          <w:rFonts w:eastAsia="MS Mincho"/>
          <w:lang w:bidi="th-TH"/>
        </w:rPr>
        <w:t xml:space="preserve"> effect</w:t>
      </w:r>
      <w:r w:rsidR="003D7BD2">
        <w:rPr>
          <w:rFonts w:eastAsia="MS Mincho"/>
          <w:lang w:bidi="th-TH"/>
        </w:rPr>
        <w:t>s</w:t>
      </w:r>
      <w:r>
        <w:rPr>
          <w:rFonts w:eastAsia="MS Mincho"/>
          <w:lang w:bidi="th-TH"/>
        </w:rPr>
        <w:t xml:space="preserve"> in BSS networks. The current situation reflected in </w:t>
      </w:r>
      <w:r w:rsidR="003D7BD2">
        <w:rPr>
          <w:rFonts w:eastAsia="MS Mincho"/>
          <w:lang w:bidi="th-TH"/>
        </w:rPr>
        <w:t xml:space="preserve">the </w:t>
      </w:r>
      <w:r>
        <w:rPr>
          <w:rFonts w:eastAsia="MS Mincho"/>
          <w:lang w:bidi="th-TH"/>
        </w:rPr>
        <w:t>Director</w:t>
      </w:r>
      <w:r w:rsidR="003D7BD2">
        <w:rPr>
          <w:rFonts w:eastAsia="MS Mincho"/>
          <w:lang w:bidi="th-TH"/>
        </w:rPr>
        <w:t>’s</w:t>
      </w:r>
      <w:r>
        <w:rPr>
          <w:rFonts w:eastAsia="MS Mincho"/>
          <w:lang w:bidi="th-TH"/>
        </w:rPr>
        <w:t xml:space="preserve"> Report, has happened despite the limited use of this band according to </w:t>
      </w:r>
      <w:r w:rsidRPr="00CB7999">
        <w:rPr>
          <w:rFonts w:eastAsia="MS Mincho"/>
          <w:lang w:bidi="th-TH"/>
        </w:rPr>
        <w:t xml:space="preserve">the RR No. </w:t>
      </w:r>
      <w:r w:rsidRPr="0076781E">
        <w:rPr>
          <w:rFonts w:eastAsia="MS Mincho"/>
          <w:lang w:bidi="th-TH"/>
        </w:rPr>
        <w:t>5.510</w:t>
      </w:r>
      <w:r>
        <w:rPr>
          <w:rFonts w:eastAsia="MS Mincho"/>
          <w:b/>
          <w:bCs/>
          <w:lang w:bidi="th-TH"/>
        </w:rPr>
        <w:t xml:space="preserve"> </w:t>
      </w:r>
      <w:r>
        <w:rPr>
          <w:rFonts w:eastAsia="MS Mincho"/>
          <w:lang w:bidi="th-TH"/>
        </w:rPr>
        <w:t xml:space="preserve">provision. Undoubtedly, by removing these limitations, the cumulative negative effect caused by new incoming FSS </w:t>
      </w:r>
      <w:r w:rsidR="003D7BD2">
        <w:rPr>
          <w:rFonts w:eastAsia="MS Mincho"/>
          <w:lang w:bidi="th-TH"/>
        </w:rPr>
        <w:t>e</w:t>
      </w:r>
      <w:r>
        <w:rPr>
          <w:rFonts w:eastAsia="MS Mincho"/>
          <w:lang w:bidi="th-TH"/>
        </w:rPr>
        <w:t>arth stations will be increased.</w:t>
      </w:r>
    </w:p>
    <w:p w:rsidR="00F43B6A" w:rsidRDefault="00F43B6A" w:rsidP="00F43B6A">
      <w:pPr>
        <w:rPr>
          <w:bCs/>
        </w:rPr>
      </w:pPr>
      <w:r>
        <w:rPr>
          <w:bCs/>
        </w:rPr>
        <w:t>Consequently, the problem of administrations responsible for BSS applications becomes more complicated comparing to the past and the cumulative effect of individually insignificant cases of unsolved problems, will become more and more significant.</w:t>
      </w:r>
    </w:p>
    <w:p w:rsidR="00F43B6A" w:rsidRDefault="00F43B6A" w:rsidP="003D7BD2">
      <w:pPr>
        <w:rPr>
          <w:rFonts w:eastAsia="MS Mincho"/>
          <w:lang w:bidi="th-TH"/>
        </w:rPr>
      </w:pPr>
      <w:r>
        <w:rPr>
          <w:rFonts w:eastAsia="MS Mincho"/>
          <w:lang w:bidi="th-TH"/>
        </w:rPr>
        <w:t>Moreover, right now sharing scenario between BSS and MS, in particular AMS, is already formulated in RR and both services are working together without any major difficulty. This situation stem</w:t>
      </w:r>
      <w:r w:rsidR="003D7BD2">
        <w:rPr>
          <w:rFonts w:eastAsia="MS Mincho"/>
          <w:lang w:bidi="th-TH"/>
        </w:rPr>
        <w:t>s</w:t>
      </w:r>
      <w:r>
        <w:rPr>
          <w:rFonts w:eastAsia="MS Mincho"/>
          <w:lang w:bidi="th-TH"/>
        </w:rPr>
        <w:t xml:space="preserve"> from the nature of BSS service. The number of Uplink </w:t>
      </w:r>
      <w:r w:rsidR="003D7BD2">
        <w:rPr>
          <w:rFonts w:eastAsia="MS Mincho"/>
          <w:lang w:bidi="th-TH"/>
        </w:rPr>
        <w:t>e</w:t>
      </w:r>
      <w:r>
        <w:rPr>
          <w:rFonts w:eastAsia="MS Mincho"/>
          <w:lang w:bidi="th-TH"/>
        </w:rPr>
        <w:t xml:space="preserve">arth stations in this band for BSS application are much fewer than that of FSS </w:t>
      </w:r>
      <w:r w:rsidR="003D7BD2">
        <w:rPr>
          <w:rFonts w:eastAsia="MS Mincho"/>
          <w:lang w:bidi="th-TH"/>
        </w:rPr>
        <w:t>e</w:t>
      </w:r>
      <w:r>
        <w:rPr>
          <w:rFonts w:eastAsia="MS Mincho"/>
          <w:lang w:bidi="th-TH"/>
        </w:rPr>
        <w:t>arth stations which possibly will be used if the limitations are removed. Therefore, it is not possible to extend sharing studies between BSS and a certain service to FSS and that service.</w:t>
      </w:r>
    </w:p>
    <w:p w:rsidR="00F43B6A" w:rsidRDefault="00F43B6A" w:rsidP="0083282A">
      <w:pPr>
        <w:rPr>
          <w:rFonts w:eastAsia="Batang"/>
          <w:b/>
          <w:bCs/>
        </w:rPr>
      </w:pPr>
      <w:r>
        <w:rPr>
          <w:rFonts w:eastAsia="MS Mincho"/>
          <w:lang w:bidi="th-TH"/>
        </w:rPr>
        <w:t>As mentioned before, BSS is one of the affected services in the band 14.5-14.8 GHz and there are other important services which are affected as a result of dedicating t</w:t>
      </w:r>
      <w:r w:rsidR="004C5828">
        <w:rPr>
          <w:rFonts w:eastAsia="MS Mincho"/>
          <w:lang w:bidi="th-TH"/>
        </w:rPr>
        <w:t>his band to the purpose of agenda i</w:t>
      </w:r>
      <w:r>
        <w:rPr>
          <w:rFonts w:eastAsia="MS Mincho"/>
          <w:lang w:bidi="th-TH"/>
        </w:rPr>
        <w:t xml:space="preserve">tem 1.6.1 and 1.6.2. The studies done by WP 4A and reported to CPM, confirms this issue. As an example, it is indicated in </w:t>
      </w:r>
      <w:r w:rsidR="00264A05">
        <w:rPr>
          <w:rFonts w:eastAsia="MS Mincho"/>
          <w:lang w:bidi="th-TH"/>
        </w:rPr>
        <w:t>the CPM</w:t>
      </w:r>
      <w:r>
        <w:rPr>
          <w:rFonts w:eastAsia="MS Mincho"/>
          <w:lang w:bidi="th-TH"/>
        </w:rPr>
        <w:t xml:space="preserve"> Report, section </w:t>
      </w:r>
      <w:r w:rsidRPr="0076781E">
        <w:rPr>
          <w:rFonts w:eastAsia="Batang"/>
        </w:rPr>
        <w:t>4.1/1.6.1/4.6.3:</w:t>
      </w:r>
    </w:p>
    <w:p w:rsidR="00F43B6A" w:rsidRPr="009C5596" w:rsidRDefault="00F43B6A" w:rsidP="009C5596">
      <w:pPr>
        <w:rPr>
          <w:rFonts w:eastAsia="MS Mincho"/>
          <w:b/>
          <w:bCs/>
          <w:i/>
          <w:iCs/>
          <w:u w:val="single"/>
          <w:lang w:bidi="th-TH"/>
        </w:rPr>
      </w:pPr>
      <w:r w:rsidRPr="009C5596">
        <w:rPr>
          <w:rFonts w:eastAsia="Batang"/>
          <w:b/>
          <w:bCs/>
          <w:i/>
          <w:iCs/>
          <w:u w:val="single"/>
        </w:rPr>
        <w:t>Quote</w:t>
      </w:r>
    </w:p>
    <w:p w:rsidR="00F43B6A" w:rsidRPr="009C5596" w:rsidRDefault="009C5596" w:rsidP="009C5596">
      <w:pPr>
        <w:rPr>
          <w:rFonts w:eastAsia="Batang"/>
          <w:i/>
          <w:iCs/>
        </w:rPr>
      </w:pPr>
      <w:r>
        <w:rPr>
          <w:rFonts w:eastAsia="Batang"/>
          <w:i/>
          <w:iCs/>
        </w:rPr>
        <w:t>“</w:t>
      </w:r>
      <w:r w:rsidR="00F43B6A" w:rsidRPr="009C5596">
        <w:rPr>
          <w:rFonts w:eastAsia="Batang"/>
          <w:i/>
          <w:iCs/>
        </w:rPr>
        <w:t>Study #1 (static analysis) showed that VSAT FSS earth stations exceed the AMS aircraft station protection criterion at distances up to 575 km when the aircraft station operates at 19</w:t>
      </w:r>
      <w:r w:rsidR="0083282A">
        <w:rPr>
          <w:rFonts w:eastAsia="Batang"/>
          <w:i/>
          <w:iCs/>
        </w:rPr>
        <w:t xml:space="preserve"> </w:t>
      </w:r>
      <w:r w:rsidR="00F43B6A" w:rsidRPr="009C5596">
        <w:rPr>
          <w:rFonts w:eastAsia="Batang"/>
          <w:i/>
          <w:iCs/>
        </w:rPr>
        <w:t>km in altitude</w:t>
      </w:r>
      <w:r>
        <w:rPr>
          <w:rFonts w:eastAsia="Batang"/>
          <w:i/>
          <w:iCs/>
        </w:rPr>
        <w:t>”</w:t>
      </w:r>
    </w:p>
    <w:p w:rsidR="0012518A" w:rsidRDefault="0012518A">
      <w:pPr>
        <w:tabs>
          <w:tab w:val="clear" w:pos="1134"/>
          <w:tab w:val="clear" w:pos="1871"/>
          <w:tab w:val="clear" w:pos="2268"/>
        </w:tabs>
        <w:overflowPunct/>
        <w:autoSpaceDE/>
        <w:autoSpaceDN/>
        <w:adjustRightInd/>
        <w:spacing w:before="0"/>
        <w:textAlignment w:val="auto"/>
        <w:rPr>
          <w:rFonts w:eastAsia="Batang"/>
          <w:b/>
          <w:bCs/>
          <w:i/>
          <w:iCs/>
          <w:u w:val="single"/>
        </w:rPr>
      </w:pPr>
      <w:r>
        <w:rPr>
          <w:rFonts w:eastAsia="Batang"/>
          <w:b/>
          <w:bCs/>
          <w:i/>
          <w:iCs/>
          <w:u w:val="single"/>
        </w:rPr>
        <w:br w:type="page"/>
      </w:r>
    </w:p>
    <w:p w:rsidR="00F43B6A" w:rsidRPr="009C5596" w:rsidRDefault="00F43B6A" w:rsidP="009C5596">
      <w:pPr>
        <w:rPr>
          <w:rFonts w:eastAsia="Batang"/>
          <w:b/>
          <w:bCs/>
          <w:i/>
          <w:iCs/>
          <w:u w:val="single"/>
        </w:rPr>
      </w:pPr>
      <w:r w:rsidRPr="009C5596">
        <w:rPr>
          <w:rFonts w:eastAsia="Batang"/>
          <w:b/>
          <w:bCs/>
          <w:i/>
          <w:iCs/>
          <w:u w:val="single"/>
        </w:rPr>
        <w:lastRenderedPageBreak/>
        <w:t>Unquote</w:t>
      </w:r>
    </w:p>
    <w:p w:rsidR="00F43B6A" w:rsidRDefault="00F43B6A" w:rsidP="009C5596">
      <w:pPr>
        <w:rPr>
          <w:rFonts w:eastAsia="MS Mincho"/>
          <w:lang w:bidi="th-TH"/>
        </w:rPr>
      </w:pPr>
      <w:r>
        <w:rPr>
          <w:rFonts w:eastAsia="MS Mincho"/>
          <w:lang w:bidi="th-TH"/>
        </w:rPr>
        <w:t>The same issu</w:t>
      </w:r>
      <w:r w:rsidR="004C5828">
        <w:rPr>
          <w:rFonts w:eastAsia="MS Mincho"/>
          <w:lang w:bidi="th-TH"/>
        </w:rPr>
        <w:t>e can be deduced for the 1.6.2 agenda i</w:t>
      </w:r>
      <w:r>
        <w:rPr>
          <w:rFonts w:eastAsia="MS Mincho"/>
          <w:lang w:bidi="th-TH"/>
        </w:rPr>
        <w:t>tem. As it is evident from the aforementioned study, allocation of this band is very hard due to the peculiarity of FSS earth stations and their number.</w:t>
      </w:r>
    </w:p>
    <w:p w:rsidR="00F43B6A" w:rsidRDefault="00F43B6A" w:rsidP="00F43B6A">
      <w:pPr>
        <w:rPr>
          <w:rFonts w:eastAsia="Batang"/>
          <w:b/>
          <w:bCs/>
        </w:rPr>
      </w:pPr>
      <w:r>
        <w:rPr>
          <w:rFonts w:eastAsia="MS Mincho"/>
          <w:lang w:bidi="th-TH"/>
        </w:rPr>
        <w:t>Table 1 below shows a</w:t>
      </w:r>
      <w:r w:rsidR="004C5828">
        <w:rPr>
          <w:rFonts w:eastAsia="MS Mincho"/>
          <w:lang w:bidi="th-TH"/>
        </w:rPr>
        <w:t>ll possible candidates for the agenda i</w:t>
      </w:r>
      <w:r>
        <w:rPr>
          <w:rFonts w:eastAsia="MS Mincho"/>
          <w:lang w:bidi="th-TH"/>
        </w:rPr>
        <w:t>tem</w:t>
      </w:r>
      <w:r w:rsidR="00264A05">
        <w:rPr>
          <w:rFonts w:eastAsia="MS Mincho"/>
          <w:lang w:bidi="th-TH"/>
        </w:rPr>
        <w:t>s</w:t>
      </w:r>
      <w:r>
        <w:rPr>
          <w:rFonts w:eastAsia="MS Mincho"/>
          <w:lang w:bidi="th-TH"/>
        </w:rPr>
        <w:t xml:space="preserve"> 1.6.1 and 1.6.2. As it is evident from the table, there are other candidate band which can be use</w:t>
      </w:r>
      <w:r w:rsidR="004C5828">
        <w:rPr>
          <w:rFonts w:eastAsia="MS Mincho"/>
          <w:lang w:bidi="th-TH"/>
        </w:rPr>
        <w:t>d for the purpose of these two agenda i</w:t>
      </w:r>
      <w:r>
        <w:rPr>
          <w:rFonts w:eastAsia="MS Mincho"/>
          <w:lang w:bidi="th-TH"/>
        </w:rPr>
        <w:t>tems.</w:t>
      </w:r>
    </w:p>
    <w:p w:rsidR="00F43B6A" w:rsidRPr="00F2005B" w:rsidRDefault="00F43B6A" w:rsidP="00FC0311">
      <w:pPr>
        <w:pStyle w:val="TableNo"/>
        <w:rPr>
          <w:rFonts w:eastAsia="MS Mincho"/>
          <w:lang w:bidi="th-TH"/>
        </w:rPr>
      </w:pPr>
      <w:r w:rsidRPr="00E47940">
        <w:rPr>
          <w:rFonts w:eastAsia="MS Mincho"/>
          <w:lang w:bidi="th-TH"/>
        </w:rPr>
        <w:t>Table-1</w:t>
      </w:r>
    </w:p>
    <w:tbl>
      <w:tblPr>
        <w:bidiVisual/>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696"/>
        <w:gridCol w:w="995"/>
        <w:gridCol w:w="1701"/>
        <w:gridCol w:w="611"/>
      </w:tblGrid>
      <w:tr w:rsidR="00F43B6A" w:rsidRPr="001F46B3" w:rsidTr="002B672A">
        <w:trPr>
          <w:jc w:val="center"/>
        </w:trPr>
        <w:tc>
          <w:tcPr>
            <w:tcW w:w="1825" w:type="dxa"/>
            <w:vAlign w:val="center"/>
          </w:tcPr>
          <w:p w:rsidR="00F43B6A" w:rsidRPr="00654EDE" w:rsidRDefault="00F43B6A" w:rsidP="00C07D51">
            <w:pPr>
              <w:pStyle w:val="Tablehead"/>
              <w:rPr>
                <w:rFonts w:eastAsia="MS Mincho"/>
                <w:lang w:eastAsia="zh-CN" w:bidi="th-TH"/>
              </w:rPr>
            </w:pPr>
            <w:r w:rsidRPr="00654EDE">
              <w:rPr>
                <w:rFonts w:eastAsia="MS Mincho"/>
                <w:lang w:eastAsia="zh-CN" w:bidi="th-TH"/>
              </w:rPr>
              <w:t>Usage (Up/Down)</w:t>
            </w:r>
          </w:p>
        </w:tc>
        <w:tc>
          <w:tcPr>
            <w:tcW w:w="4696" w:type="dxa"/>
            <w:vAlign w:val="center"/>
          </w:tcPr>
          <w:p w:rsidR="00F43B6A" w:rsidRPr="00654EDE" w:rsidRDefault="00F43B6A" w:rsidP="00C07D51">
            <w:pPr>
              <w:pStyle w:val="Tablehead"/>
              <w:rPr>
                <w:rFonts w:eastAsia="MS Mincho"/>
                <w:lang w:eastAsia="zh-CN" w:bidi="th-TH"/>
              </w:rPr>
            </w:pPr>
            <w:r w:rsidRPr="00654EDE">
              <w:rPr>
                <w:rFonts w:eastAsia="MS Mincho"/>
                <w:lang w:eastAsia="zh-CN" w:bidi="th-TH"/>
              </w:rPr>
              <w:t>Abbreviation stands for</w:t>
            </w:r>
          </w:p>
        </w:tc>
        <w:tc>
          <w:tcPr>
            <w:tcW w:w="995" w:type="dxa"/>
            <w:vAlign w:val="center"/>
          </w:tcPr>
          <w:p w:rsidR="00F43B6A" w:rsidRPr="00654EDE" w:rsidRDefault="00F43B6A" w:rsidP="00C07D51">
            <w:pPr>
              <w:pStyle w:val="Tablehead"/>
              <w:rPr>
                <w:rFonts w:eastAsia="MS Mincho"/>
                <w:lang w:eastAsia="zh-CN" w:bidi="th-TH"/>
              </w:rPr>
            </w:pPr>
            <w:r w:rsidRPr="00654EDE">
              <w:rPr>
                <w:rFonts w:eastAsia="MS Mincho"/>
                <w:lang w:eastAsia="zh-CN" w:bidi="th-TH"/>
              </w:rPr>
              <w:t>Services</w:t>
            </w:r>
          </w:p>
        </w:tc>
        <w:tc>
          <w:tcPr>
            <w:tcW w:w="1701" w:type="dxa"/>
            <w:vAlign w:val="center"/>
          </w:tcPr>
          <w:p w:rsidR="00F43B6A" w:rsidRPr="00654EDE" w:rsidRDefault="00F43B6A" w:rsidP="00C07D51">
            <w:pPr>
              <w:pStyle w:val="Tablehead"/>
              <w:rPr>
                <w:rFonts w:eastAsia="MS Mincho"/>
                <w:lang w:eastAsia="zh-CN" w:bidi="th-TH"/>
              </w:rPr>
            </w:pPr>
            <w:r w:rsidRPr="00654EDE">
              <w:rPr>
                <w:rFonts w:eastAsia="MS Mincho"/>
                <w:lang w:eastAsia="zh-CN" w:bidi="th-TH"/>
              </w:rPr>
              <w:t>Sub-band (GHz)</w:t>
            </w:r>
          </w:p>
        </w:tc>
        <w:tc>
          <w:tcPr>
            <w:tcW w:w="611" w:type="dxa"/>
            <w:vAlign w:val="center"/>
          </w:tcPr>
          <w:p w:rsidR="00F43B6A" w:rsidRPr="00654EDE" w:rsidRDefault="00F43B6A" w:rsidP="00C07D51">
            <w:pPr>
              <w:pStyle w:val="Tablehead"/>
              <w:rPr>
                <w:rFonts w:eastAsia="MS Mincho"/>
                <w:lang w:eastAsia="zh-CN" w:bidi="th-TH"/>
              </w:rPr>
            </w:pPr>
            <w:r w:rsidRPr="00654EDE">
              <w:rPr>
                <w:rFonts w:eastAsia="MS Mincho"/>
                <w:lang w:eastAsia="zh-CN" w:bidi="th-TH"/>
              </w:rPr>
              <w:t>No.</w:t>
            </w: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 (Active)</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Earth Exploration-Satellite Service</w:t>
            </w:r>
          </w:p>
        </w:tc>
        <w:tc>
          <w:tcPr>
            <w:tcW w:w="995"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EESS</w:t>
            </w:r>
          </w:p>
        </w:tc>
        <w:tc>
          <w:tcPr>
            <w:tcW w:w="1701" w:type="dxa"/>
            <w:vMerge w:val="restart"/>
            <w:vAlign w:val="center"/>
          </w:tcPr>
          <w:p w:rsidR="00F43B6A" w:rsidRPr="00C07D51" w:rsidRDefault="00F43B6A" w:rsidP="004D4DC7">
            <w:pPr>
              <w:pStyle w:val="Tabletext"/>
              <w:jc w:val="center"/>
              <w:rPr>
                <w:rFonts w:eastAsia="MS Mincho"/>
                <w:b/>
                <w:bCs/>
                <w:rtl/>
                <w:lang w:eastAsia="zh-CN" w:bidi="fa-IR"/>
              </w:rPr>
            </w:pPr>
            <w:r w:rsidRPr="00C07D51">
              <w:rPr>
                <w:rFonts w:eastAsia="MS Mincho"/>
                <w:b/>
                <w:bCs/>
                <w:lang w:eastAsia="zh-CN" w:bidi="th-TH"/>
              </w:rPr>
              <w:t>13.25-13.4</w:t>
            </w:r>
          </w:p>
        </w:tc>
        <w:tc>
          <w:tcPr>
            <w:tcW w:w="611" w:type="dxa"/>
            <w:vMerge w:val="restart"/>
            <w:vAlign w:val="center"/>
          </w:tcPr>
          <w:p w:rsidR="00F43B6A" w:rsidRPr="00C07D51" w:rsidRDefault="00F43B6A" w:rsidP="0012518A">
            <w:pPr>
              <w:pStyle w:val="Tabletext"/>
              <w:jc w:val="center"/>
              <w:rPr>
                <w:rFonts w:eastAsia="MS Mincho"/>
                <w:b/>
                <w:bCs/>
                <w:lang w:eastAsia="zh-CN" w:bidi="th-TH"/>
              </w:rPr>
            </w:pPr>
            <w:r w:rsidRPr="00C07D51">
              <w:rPr>
                <w:rFonts w:eastAsia="MS Mincho"/>
                <w:b/>
                <w:bCs/>
                <w:lang w:eastAsia="zh-CN" w:bidi="th-TH"/>
              </w:rPr>
              <w:t>1</w:t>
            </w: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Aeronautical Radio Navigation Service</w:t>
            </w:r>
          </w:p>
        </w:tc>
        <w:tc>
          <w:tcPr>
            <w:tcW w:w="995"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ARNS</w:t>
            </w:r>
          </w:p>
        </w:tc>
        <w:tc>
          <w:tcPr>
            <w:tcW w:w="1701" w:type="dxa"/>
            <w:vMerge/>
            <w:vAlign w:val="center"/>
          </w:tcPr>
          <w:p w:rsidR="00F43B6A" w:rsidRPr="00C07D51" w:rsidRDefault="00F43B6A" w:rsidP="004D4DC7">
            <w:pPr>
              <w:pStyle w:val="Tabletext"/>
              <w:jc w:val="center"/>
              <w:rPr>
                <w:rFonts w:eastAsia="MS Mincho"/>
                <w:b/>
                <w:bCs/>
                <w:rtl/>
                <w:lang w:eastAsia="zh-CN" w:bidi="fa-IR"/>
              </w:rPr>
            </w:pPr>
          </w:p>
        </w:tc>
        <w:tc>
          <w:tcPr>
            <w:tcW w:w="611" w:type="dxa"/>
            <w:vMerge/>
            <w:vAlign w:val="center"/>
          </w:tcPr>
          <w:p w:rsidR="00F43B6A" w:rsidRPr="00C07D51" w:rsidRDefault="00F43B6A" w:rsidP="00C07D51">
            <w:pPr>
              <w:pStyle w:val="Tabletext"/>
              <w:rPr>
                <w:rFonts w:eastAsia="MS Mincho"/>
                <w:b/>
                <w:bCs/>
                <w:rtl/>
                <w:lang w:eastAsia="zh-CN" w:bidi="fa-IR"/>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 (Active)</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Space Research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SRS</w:t>
            </w:r>
          </w:p>
        </w:tc>
        <w:tc>
          <w:tcPr>
            <w:tcW w:w="1701" w:type="dxa"/>
            <w:vMerge/>
            <w:vAlign w:val="center"/>
          </w:tcPr>
          <w:p w:rsidR="00F43B6A" w:rsidRPr="00C07D51" w:rsidRDefault="00F43B6A" w:rsidP="004D4DC7">
            <w:pPr>
              <w:pStyle w:val="Tabletext"/>
              <w:jc w:val="center"/>
              <w:rPr>
                <w:rFonts w:eastAsia="MS Mincho"/>
                <w:b/>
                <w:bCs/>
                <w:rtl/>
                <w:lang w:eastAsia="zh-CN" w:bidi="fa-IR"/>
              </w:rPr>
            </w:pPr>
          </w:p>
        </w:tc>
        <w:tc>
          <w:tcPr>
            <w:tcW w:w="611" w:type="dxa"/>
            <w:vMerge/>
            <w:vAlign w:val="center"/>
          </w:tcPr>
          <w:p w:rsidR="00F43B6A" w:rsidRPr="00C07D51" w:rsidRDefault="00F43B6A" w:rsidP="00C07D51">
            <w:pPr>
              <w:pStyle w:val="Tabletext"/>
              <w:rPr>
                <w:rFonts w:eastAsia="MS Mincho"/>
                <w:b/>
                <w:bCs/>
                <w:rtl/>
                <w:lang w:eastAsia="zh-CN" w:bidi="fa-IR"/>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 D</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Fixed Service</w:t>
            </w:r>
          </w:p>
        </w:tc>
        <w:tc>
          <w:tcPr>
            <w:tcW w:w="995"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FS</w:t>
            </w:r>
          </w:p>
        </w:tc>
        <w:tc>
          <w:tcPr>
            <w:tcW w:w="1701" w:type="dxa"/>
            <w:vMerge/>
            <w:vAlign w:val="center"/>
          </w:tcPr>
          <w:p w:rsidR="00F43B6A" w:rsidRPr="00C07D51" w:rsidRDefault="00F43B6A" w:rsidP="004D4DC7">
            <w:pPr>
              <w:pStyle w:val="Tabletext"/>
              <w:jc w:val="center"/>
              <w:rPr>
                <w:rFonts w:eastAsia="MS Mincho"/>
                <w:b/>
                <w:bCs/>
                <w:rtl/>
                <w:lang w:eastAsia="zh-CN" w:bidi="fa-IR"/>
              </w:rPr>
            </w:pPr>
          </w:p>
        </w:tc>
        <w:tc>
          <w:tcPr>
            <w:tcW w:w="611" w:type="dxa"/>
            <w:vMerge/>
            <w:vAlign w:val="center"/>
          </w:tcPr>
          <w:p w:rsidR="00F43B6A" w:rsidRPr="00C07D51" w:rsidRDefault="00F43B6A" w:rsidP="00C07D51">
            <w:pPr>
              <w:pStyle w:val="Tabletext"/>
              <w:rPr>
                <w:rFonts w:eastAsia="MS Mincho"/>
                <w:b/>
                <w:bCs/>
                <w:rtl/>
                <w:lang w:eastAsia="zh-CN" w:bidi="fa-IR"/>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Earth Exploration-Satellite Service</w:t>
            </w:r>
          </w:p>
        </w:tc>
        <w:tc>
          <w:tcPr>
            <w:tcW w:w="995"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EESS</w:t>
            </w:r>
          </w:p>
        </w:tc>
        <w:tc>
          <w:tcPr>
            <w:tcW w:w="1701" w:type="dxa"/>
            <w:vMerge w:val="restart"/>
            <w:vAlign w:val="center"/>
          </w:tcPr>
          <w:p w:rsidR="00F43B6A" w:rsidRPr="00C07D51" w:rsidRDefault="00F43B6A" w:rsidP="004D4DC7">
            <w:pPr>
              <w:pStyle w:val="Tabletext"/>
              <w:jc w:val="center"/>
              <w:rPr>
                <w:rFonts w:eastAsia="MS Mincho"/>
                <w:b/>
                <w:bCs/>
                <w:rtl/>
                <w:lang w:eastAsia="zh-CN" w:bidi="fa-IR"/>
              </w:rPr>
            </w:pPr>
            <w:r w:rsidRPr="00C07D51">
              <w:rPr>
                <w:rFonts w:eastAsia="MS Mincho"/>
                <w:b/>
                <w:bCs/>
                <w:lang w:eastAsia="zh-CN" w:bidi="th-TH"/>
              </w:rPr>
              <w:t>13.4-13.75</w:t>
            </w:r>
          </w:p>
        </w:tc>
        <w:tc>
          <w:tcPr>
            <w:tcW w:w="611" w:type="dxa"/>
            <w:vMerge w:val="restart"/>
            <w:vAlign w:val="center"/>
          </w:tcPr>
          <w:p w:rsidR="00F43B6A" w:rsidRPr="00C07D51" w:rsidRDefault="00F43B6A" w:rsidP="0012518A">
            <w:pPr>
              <w:pStyle w:val="Tabletext"/>
              <w:jc w:val="center"/>
              <w:rPr>
                <w:rFonts w:eastAsia="MS Mincho"/>
                <w:b/>
                <w:bCs/>
                <w:lang w:eastAsia="zh-CN" w:bidi="th-TH"/>
              </w:rPr>
            </w:pPr>
            <w:r w:rsidRPr="00C07D51">
              <w:rPr>
                <w:rFonts w:eastAsia="MS Mincho"/>
                <w:b/>
                <w:bCs/>
                <w:lang w:eastAsia="zh-CN" w:bidi="th-TH"/>
              </w:rPr>
              <w:t>2</w:t>
            </w: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Space Research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SRS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Radiolocation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RLS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76781E">
            <w:pPr>
              <w:pStyle w:val="Tabletext"/>
              <w:rPr>
                <w:rFonts w:eastAsia="MS Mincho"/>
                <w:lang w:eastAsia="zh-CN" w:bidi="th-TH"/>
              </w:rPr>
            </w:pPr>
            <w:r w:rsidRPr="00654EDE">
              <w:rPr>
                <w:rFonts w:eastAsia="MS Mincho"/>
                <w:lang w:eastAsia="zh-CN" w:bidi="th-TH"/>
              </w:rPr>
              <w:t>Radio</w:t>
            </w:r>
            <w:r w:rsidR="0076781E">
              <w:rPr>
                <w:rFonts w:eastAsia="MS Mincho"/>
                <w:lang w:eastAsia="zh-CN" w:bidi="th-TH"/>
              </w:rPr>
              <w:t xml:space="preserve"> N</w:t>
            </w:r>
            <w:r w:rsidRPr="00654EDE">
              <w:rPr>
                <w:rFonts w:eastAsia="MS Mincho"/>
                <w:lang w:eastAsia="zh-CN" w:bidi="th-TH"/>
              </w:rPr>
              <w:t>avigation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RNS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Fixed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FS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Mobile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MS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Standard Frequency and Time Signal-Satellite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bCs/>
                <w:lang w:eastAsia="zh-CN" w:bidi="th-TH"/>
              </w:rPr>
              <w:t>SFTSSS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 xml:space="preserve">U ( </w:t>
            </w:r>
            <w:r w:rsidR="009C5596" w:rsidRPr="00654EDE">
              <w:rPr>
                <w:rFonts w:eastAsia="MS Mincho"/>
                <w:lang w:eastAsia="zh-CN" w:bidi="th-TH"/>
              </w:rPr>
              <w:t>Plan, List</w:t>
            </w:r>
            <w:r w:rsidRPr="00654EDE">
              <w:rPr>
                <w:rFonts w:eastAsia="MS Mincho"/>
                <w:lang w:eastAsia="zh-CN" w:bidi="th-TH"/>
              </w:rPr>
              <w:t>)</w:t>
            </w:r>
          </w:p>
        </w:tc>
        <w:tc>
          <w:tcPr>
            <w:tcW w:w="4696"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Broadcasting-Satellite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 xml:space="preserve">BSS </w:t>
            </w:r>
          </w:p>
        </w:tc>
        <w:tc>
          <w:tcPr>
            <w:tcW w:w="1701" w:type="dxa"/>
            <w:vMerge w:val="restart"/>
            <w:vAlign w:val="center"/>
          </w:tcPr>
          <w:p w:rsidR="00F43B6A" w:rsidRPr="00C07D51" w:rsidRDefault="00F43B6A" w:rsidP="004D4DC7">
            <w:pPr>
              <w:pStyle w:val="Tabletext"/>
              <w:jc w:val="center"/>
              <w:rPr>
                <w:rFonts w:eastAsia="MS Mincho"/>
                <w:b/>
                <w:bCs/>
                <w:lang w:eastAsia="zh-CN" w:bidi="th-TH"/>
              </w:rPr>
            </w:pPr>
            <w:r w:rsidRPr="00C07D51">
              <w:rPr>
                <w:rFonts w:eastAsia="MS Mincho"/>
                <w:b/>
                <w:bCs/>
                <w:lang w:eastAsia="zh-CN" w:bidi="th-TH"/>
              </w:rPr>
              <w:t>14.5-14.8</w:t>
            </w:r>
          </w:p>
        </w:tc>
        <w:tc>
          <w:tcPr>
            <w:tcW w:w="611" w:type="dxa"/>
            <w:vMerge w:val="restart"/>
            <w:vAlign w:val="center"/>
          </w:tcPr>
          <w:p w:rsidR="00F43B6A" w:rsidRPr="00C07D51" w:rsidRDefault="00F43B6A" w:rsidP="0012518A">
            <w:pPr>
              <w:pStyle w:val="Tabletext"/>
              <w:jc w:val="center"/>
              <w:rPr>
                <w:rFonts w:eastAsia="MS Mincho"/>
                <w:b/>
                <w:bCs/>
                <w:lang w:eastAsia="zh-CN" w:bidi="th-TH"/>
              </w:rPr>
            </w:pPr>
            <w:r w:rsidRPr="00C07D51">
              <w:rPr>
                <w:rFonts w:eastAsia="MS Mincho"/>
                <w:b/>
                <w:bCs/>
                <w:lang w:eastAsia="zh-CN" w:bidi="th-TH"/>
              </w:rPr>
              <w:t>3</w:t>
            </w: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Fixed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FS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83282A">
            <w:pPr>
              <w:pStyle w:val="Tabletext"/>
              <w:rPr>
                <w:rFonts w:eastAsia="MS Mincho"/>
                <w:lang w:val="fr-FR" w:eastAsia="zh-CN" w:bidi="th-TH"/>
              </w:rPr>
            </w:pPr>
            <w:r w:rsidRPr="00654EDE">
              <w:rPr>
                <w:rFonts w:eastAsia="MS Mincho"/>
                <w:lang w:val="fr-FR" w:eastAsia="zh-CN" w:bidi="th-TH"/>
              </w:rPr>
              <w:t>Mobile Service/Aeronautical Mobile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MS/AMS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Space Research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SRS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lang w:eastAsia="zh-CN" w:bidi="th-TH"/>
              </w:rPr>
            </w:pPr>
            <w:r w:rsidRPr="00654EDE">
              <w:rPr>
                <w:rFonts w:eastAsia="MS Mincho"/>
                <w:lang w:eastAsia="zh-CN" w:bidi="th-TH"/>
              </w:rPr>
              <w:t>Adjacent RAS band</w:t>
            </w:r>
          </w:p>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(15.35-15.40 GHz)</w:t>
            </w:r>
          </w:p>
        </w:tc>
        <w:tc>
          <w:tcPr>
            <w:tcW w:w="4696"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Radio Astronomy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RAS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83282A">
            <w:pPr>
              <w:pStyle w:val="Tabletext"/>
              <w:rPr>
                <w:rFonts w:eastAsia="MS Mincho"/>
                <w:lang w:val="fr-FR" w:eastAsia="zh-CN" w:bidi="th-TH"/>
              </w:rPr>
            </w:pPr>
            <w:r w:rsidRPr="00654EDE">
              <w:rPr>
                <w:rFonts w:eastAsia="MS Mincho"/>
                <w:lang w:val="fr-FR" w:eastAsia="zh-CN" w:bidi="th-TH"/>
              </w:rPr>
              <w:t>Mobile Service/Aeronautical Mobile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MS/AMS</w:t>
            </w:r>
          </w:p>
        </w:tc>
        <w:tc>
          <w:tcPr>
            <w:tcW w:w="1701" w:type="dxa"/>
            <w:vMerge w:val="restart"/>
            <w:vAlign w:val="center"/>
          </w:tcPr>
          <w:p w:rsidR="00F43B6A" w:rsidRPr="00C07D51" w:rsidRDefault="00F43B6A" w:rsidP="004D4DC7">
            <w:pPr>
              <w:pStyle w:val="Tabletext"/>
              <w:jc w:val="center"/>
              <w:rPr>
                <w:rFonts w:eastAsia="MS Mincho"/>
                <w:b/>
                <w:bCs/>
                <w:lang w:eastAsia="zh-CN" w:bidi="th-TH"/>
              </w:rPr>
            </w:pPr>
            <w:r w:rsidRPr="00C07D51">
              <w:rPr>
                <w:rFonts w:eastAsia="MS Mincho"/>
                <w:b/>
                <w:bCs/>
                <w:lang w:eastAsia="zh-CN" w:bidi="th-TH"/>
              </w:rPr>
              <w:t>14.8-15.35</w:t>
            </w:r>
          </w:p>
        </w:tc>
        <w:tc>
          <w:tcPr>
            <w:tcW w:w="611" w:type="dxa"/>
            <w:vMerge w:val="restart"/>
            <w:vAlign w:val="center"/>
          </w:tcPr>
          <w:p w:rsidR="00F43B6A" w:rsidRPr="00C07D51" w:rsidRDefault="00F43B6A" w:rsidP="0012518A">
            <w:pPr>
              <w:pStyle w:val="Tabletext"/>
              <w:jc w:val="center"/>
              <w:rPr>
                <w:rFonts w:eastAsia="MS Mincho"/>
                <w:b/>
                <w:bCs/>
                <w:lang w:eastAsia="zh-CN" w:bidi="th-TH"/>
              </w:rPr>
            </w:pPr>
            <w:r w:rsidRPr="00C07D51">
              <w:rPr>
                <w:rFonts w:eastAsia="MS Mincho"/>
                <w:b/>
                <w:bCs/>
                <w:lang w:eastAsia="zh-CN" w:bidi="th-TH"/>
              </w:rPr>
              <w:t>4</w:t>
            </w: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Fixed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FS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rtl/>
                <w:lang w:eastAsia="zh-CN" w:bidi="fa-IR"/>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Space Research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SRS</w:t>
            </w:r>
          </w:p>
        </w:tc>
        <w:tc>
          <w:tcPr>
            <w:tcW w:w="1701" w:type="dxa"/>
            <w:vMerge/>
            <w:vAlign w:val="center"/>
          </w:tcPr>
          <w:p w:rsidR="00F43B6A" w:rsidRPr="00C07D51" w:rsidRDefault="00F43B6A" w:rsidP="004D4DC7">
            <w:pPr>
              <w:pStyle w:val="Tabletext"/>
              <w:jc w:val="center"/>
              <w:rPr>
                <w:rFonts w:eastAsia="MS Mincho"/>
                <w:b/>
                <w:bCs/>
                <w:lang w:eastAsia="zh-CN" w:bidi="th-TH"/>
              </w:rPr>
            </w:pPr>
          </w:p>
        </w:tc>
        <w:tc>
          <w:tcPr>
            <w:tcW w:w="611" w:type="dxa"/>
            <w:vMerge/>
            <w:vAlign w:val="center"/>
          </w:tcPr>
          <w:p w:rsidR="00F43B6A" w:rsidRPr="00C07D51" w:rsidRDefault="00F43B6A" w:rsidP="0012518A">
            <w:pPr>
              <w:pStyle w:val="Tabletext"/>
              <w:jc w:val="center"/>
              <w:rPr>
                <w:rFonts w:eastAsia="MS Mincho"/>
                <w:b/>
                <w:bCs/>
                <w:lang w:eastAsia="zh-CN" w:bidi="th-TH"/>
              </w:rPr>
            </w:pPr>
          </w:p>
        </w:tc>
      </w:tr>
      <w:tr w:rsidR="00F43B6A" w:rsidRPr="001F46B3" w:rsidTr="002B672A">
        <w:trPr>
          <w:jc w:val="center"/>
        </w:trPr>
        <w:tc>
          <w:tcPr>
            <w:tcW w:w="7516" w:type="dxa"/>
            <w:gridSpan w:val="3"/>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 xml:space="preserve">The frequency band 15.35-15.4 GHz was excluded from consideration of possibility to allocate additionally spectrum for GSO FSS in accordance with Resolution </w:t>
            </w:r>
            <w:r w:rsidRPr="00654EDE">
              <w:rPr>
                <w:rFonts w:eastAsia="MS Mincho"/>
                <w:b/>
                <w:bCs/>
                <w:lang w:eastAsia="zh-CN" w:bidi="th-TH"/>
              </w:rPr>
              <w:t>151 (WRC-12)</w:t>
            </w:r>
          </w:p>
        </w:tc>
        <w:tc>
          <w:tcPr>
            <w:tcW w:w="1701" w:type="dxa"/>
            <w:vAlign w:val="center"/>
          </w:tcPr>
          <w:p w:rsidR="00F43B6A" w:rsidRPr="00C07D51" w:rsidRDefault="00F43B6A" w:rsidP="004D4DC7">
            <w:pPr>
              <w:pStyle w:val="Tabletext"/>
              <w:jc w:val="center"/>
              <w:rPr>
                <w:rFonts w:eastAsia="MS Mincho"/>
                <w:b/>
                <w:bCs/>
                <w:lang w:eastAsia="zh-CN" w:bidi="th-TH"/>
              </w:rPr>
            </w:pPr>
            <w:r w:rsidRPr="00C07D51">
              <w:rPr>
                <w:rFonts w:eastAsia="MS Mincho"/>
                <w:b/>
                <w:bCs/>
                <w:lang w:eastAsia="zh-CN" w:bidi="th-TH"/>
              </w:rPr>
              <w:t>15.35-15.4</w:t>
            </w:r>
          </w:p>
        </w:tc>
        <w:tc>
          <w:tcPr>
            <w:tcW w:w="611" w:type="dxa"/>
            <w:vAlign w:val="center"/>
          </w:tcPr>
          <w:p w:rsidR="00F43B6A" w:rsidRPr="00C07D51" w:rsidRDefault="00F43B6A" w:rsidP="0012518A">
            <w:pPr>
              <w:pStyle w:val="Tabletext"/>
              <w:jc w:val="center"/>
              <w:rPr>
                <w:rFonts w:eastAsia="MS Mincho"/>
                <w:b/>
                <w:bCs/>
                <w:lang w:eastAsia="zh-CN" w:bidi="th-TH"/>
              </w:rPr>
            </w:pPr>
            <w:r w:rsidRPr="00C07D51">
              <w:rPr>
                <w:rFonts w:eastAsia="MS Mincho"/>
                <w:b/>
                <w:bCs/>
                <w:lang w:eastAsia="zh-CN" w:bidi="th-TH"/>
              </w:rPr>
              <w:t>5</w:t>
            </w: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lang w:eastAsia="zh-CN" w:bidi="th-TH"/>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Radiolocation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RLS</w:t>
            </w:r>
          </w:p>
        </w:tc>
        <w:tc>
          <w:tcPr>
            <w:tcW w:w="1701" w:type="dxa"/>
            <w:vMerge w:val="restart"/>
            <w:vAlign w:val="center"/>
          </w:tcPr>
          <w:p w:rsidR="00F43B6A" w:rsidRPr="00C07D51" w:rsidRDefault="00F43B6A" w:rsidP="004D4DC7">
            <w:pPr>
              <w:pStyle w:val="Tabletext"/>
              <w:jc w:val="center"/>
              <w:rPr>
                <w:rFonts w:eastAsia="MS Mincho"/>
                <w:b/>
                <w:bCs/>
                <w:lang w:eastAsia="zh-CN" w:bidi="th-TH"/>
              </w:rPr>
            </w:pPr>
            <w:r w:rsidRPr="00C07D51">
              <w:rPr>
                <w:rFonts w:eastAsia="MS Mincho"/>
                <w:b/>
                <w:bCs/>
                <w:lang w:eastAsia="zh-CN" w:bidi="th-TH"/>
              </w:rPr>
              <w:t>15.4-15.7</w:t>
            </w:r>
          </w:p>
        </w:tc>
        <w:tc>
          <w:tcPr>
            <w:tcW w:w="611" w:type="dxa"/>
            <w:vMerge w:val="restart"/>
            <w:vAlign w:val="center"/>
          </w:tcPr>
          <w:p w:rsidR="00F43B6A" w:rsidRPr="00C07D51" w:rsidRDefault="00F43B6A" w:rsidP="0012518A">
            <w:pPr>
              <w:pStyle w:val="Tabletext"/>
              <w:jc w:val="center"/>
              <w:rPr>
                <w:rFonts w:eastAsia="MS Mincho"/>
                <w:b/>
                <w:bCs/>
                <w:lang w:eastAsia="zh-CN" w:bidi="th-TH"/>
              </w:rPr>
            </w:pPr>
            <w:r w:rsidRPr="00C07D51">
              <w:rPr>
                <w:rFonts w:eastAsia="MS Mincho"/>
                <w:b/>
                <w:bCs/>
                <w:lang w:eastAsia="zh-CN" w:bidi="th-TH"/>
              </w:rPr>
              <w:t>6</w:t>
            </w: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lang w:eastAsia="zh-CN" w:bidi="th-TH"/>
              </w:rPr>
            </w:pPr>
            <w:r w:rsidRPr="00654EDE">
              <w:rPr>
                <w:rFonts w:eastAsia="MS Mincho"/>
                <w:lang w:eastAsia="zh-CN" w:bidi="th-TH"/>
              </w:rPr>
              <w:t>U</w:t>
            </w:r>
          </w:p>
        </w:tc>
        <w:tc>
          <w:tcPr>
            <w:tcW w:w="4696" w:type="dxa"/>
            <w:vAlign w:val="center"/>
          </w:tcPr>
          <w:p w:rsidR="00F43B6A" w:rsidRPr="00654EDE" w:rsidRDefault="00F43B6A" w:rsidP="00C07D51">
            <w:pPr>
              <w:pStyle w:val="Tabletext"/>
              <w:rPr>
                <w:rFonts w:eastAsia="MS Mincho"/>
                <w:rtl/>
                <w:lang w:eastAsia="zh-CN" w:bidi="fa-IR"/>
              </w:rPr>
            </w:pPr>
            <w:r w:rsidRPr="00654EDE">
              <w:rPr>
                <w:rFonts w:eastAsia="MS Mincho"/>
                <w:lang w:eastAsia="zh-CN" w:bidi="th-TH"/>
              </w:rPr>
              <w:t>Aeronautical Radionavigation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ARNS</w:t>
            </w:r>
          </w:p>
        </w:tc>
        <w:tc>
          <w:tcPr>
            <w:tcW w:w="1701" w:type="dxa"/>
            <w:vMerge/>
            <w:vAlign w:val="center"/>
          </w:tcPr>
          <w:p w:rsidR="00F43B6A" w:rsidRPr="00C07D51" w:rsidRDefault="00F43B6A" w:rsidP="004D4DC7">
            <w:pPr>
              <w:jc w:val="center"/>
              <w:rPr>
                <w:rFonts w:ascii="CG Times" w:eastAsia="MS Mincho" w:hAnsi="CG Times"/>
                <w:b/>
                <w:bCs/>
                <w:sz w:val="20"/>
                <w:lang w:eastAsia="zh-CN" w:bidi="th-TH"/>
              </w:rPr>
            </w:pPr>
          </w:p>
        </w:tc>
        <w:tc>
          <w:tcPr>
            <w:tcW w:w="611" w:type="dxa"/>
            <w:vMerge/>
            <w:vAlign w:val="center"/>
          </w:tcPr>
          <w:p w:rsidR="00F43B6A" w:rsidRPr="00C07D51" w:rsidRDefault="00F43B6A" w:rsidP="0012518A">
            <w:pPr>
              <w:jc w:val="center"/>
              <w:rPr>
                <w:rFonts w:ascii="CG Times" w:eastAsia="MS Mincho" w:hAnsi="CG Times"/>
                <w:b/>
                <w:bCs/>
                <w:sz w:val="20"/>
                <w:lang w:eastAsia="zh-CN" w:bidi="th-TH"/>
              </w:rPr>
            </w:pP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lang w:eastAsia="zh-CN" w:bidi="th-TH"/>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Radiolocation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RLS</w:t>
            </w:r>
          </w:p>
        </w:tc>
        <w:tc>
          <w:tcPr>
            <w:tcW w:w="1701" w:type="dxa"/>
            <w:vAlign w:val="center"/>
          </w:tcPr>
          <w:p w:rsidR="00F43B6A" w:rsidRPr="00C07D51" w:rsidRDefault="00F43B6A" w:rsidP="004D4DC7">
            <w:pPr>
              <w:pStyle w:val="Tabletext"/>
              <w:jc w:val="center"/>
              <w:rPr>
                <w:rFonts w:eastAsia="MS Mincho"/>
                <w:b/>
                <w:bCs/>
                <w:lang w:eastAsia="zh-CN" w:bidi="th-TH"/>
              </w:rPr>
            </w:pPr>
            <w:r w:rsidRPr="00C07D51">
              <w:rPr>
                <w:rFonts w:eastAsia="MS Mincho"/>
                <w:b/>
                <w:bCs/>
                <w:lang w:eastAsia="zh-CN" w:bidi="th-TH"/>
              </w:rPr>
              <w:t>15.7-16.6</w:t>
            </w:r>
          </w:p>
        </w:tc>
        <w:tc>
          <w:tcPr>
            <w:tcW w:w="611" w:type="dxa"/>
            <w:vAlign w:val="center"/>
          </w:tcPr>
          <w:p w:rsidR="00F43B6A" w:rsidRPr="00C07D51" w:rsidRDefault="00F43B6A" w:rsidP="0012518A">
            <w:pPr>
              <w:pStyle w:val="Tabletext"/>
              <w:jc w:val="center"/>
              <w:rPr>
                <w:rFonts w:eastAsia="MS Mincho"/>
                <w:b/>
                <w:bCs/>
                <w:lang w:eastAsia="zh-CN" w:bidi="th-TH"/>
              </w:rPr>
            </w:pPr>
            <w:r w:rsidRPr="00C07D51">
              <w:rPr>
                <w:rFonts w:eastAsia="MS Mincho"/>
                <w:b/>
                <w:bCs/>
                <w:lang w:eastAsia="zh-CN" w:bidi="th-TH"/>
              </w:rPr>
              <w:t>7</w:t>
            </w:r>
          </w:p>
        </w:tc>
      </w:tr>
      <w:tr w:rsidR="00F43B6A" w:rsidRPr="001F46B3" w:rsidTr="002B672A">
        <w:trPr>
          <w:jc w:val="center"/>
        </w:trPr>
        <w:tc>
          <w:tcPr>
            <w:tcW w:w="1825" w:type="dxa"/>
            <w:vAlign w:val="center"/>
          </w:tcPr>
          <w:p w:rsidR="00F43B6A" w:rsidRPr="00654EDE" w:rsidRDefault="00F43B6A" w:rsidP="006A36F9">
            <w:pPr>
              <w:pStyle w:val="Tabletext"/>
              <w:jc w:val="center"/>
              <w:rPr>
                <w:rFonts w:eastAsia="MS Mincho"/>
                <w:lang w:eastAsia="zh-CN" w:bidi="th-TH"/>
              </w:rPr>
            </w:pPr>
            <w:r w:rsidRPr="00654EDE">
              <w:rPr>
                <w:rFonts w:eastAsia="MS Mincho"/>
                <w:lang w:eastAsia="zh-CN" w:bidi="th-TH"/>
              </w:rPr>
              <w:t>U/D</w:t>
            </w:r>
          </w:p>
        </w:tc>
        <w:tc>
          <w:tcPr>
            <w:tcW w:w="4696"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Radiolocation Service</w:t>
            </w:r>
          </w:p>
        </w:tc>
        <w:tc>
          <w:tcPr>
            <w:tcW w:w="995" w:type="dxa"/>
            <w:vAlign w:val="center"/>
          </w:tcPr>
          <w:p w:rsidR="00F43B6A" w:rsidRPr="00654EDE" w:rsidRDefault="00F43B6A" w:rsidP="00C07D51">
            <w:pPr>
              <w:pStyle w:val="Tabletext"/>
              <w:rPr>
                <w:rFonts w:eastAsia="MS Mincho"/>
                <w:lang w:eastAsia="zh-CN" w:bidi="th-TH"/>
              </w:rPr>
            </w:pPr>
            <w:r w:rsidRPr="00654EDE">
              <w:rPr>
                <w:rFonts w:eastAsia="MS Mincho"/>
                <w:lang w:eastAsia="zh-CN" w:bidi="th-TH"/>
              </w:rPr>
              <w:t>RLS</w:t>
            </w:r>
          </w:p>
        </w:tc>
        <w:tc>
          <w:tcPr>
            <w:tcW w:w="1701" w:type="dxa"/>
            <w:vAlign w:val="center"/>
          </w:tcPr>
          <w:p w:rsidR="00F43B6A" w:rsidRPr="00C07D51" w:rsidRDefault="00F43B6A" w:rsidP="004D4DC7">
            <w:pPr>
              <w:pStyle w:val="Tabletext"/>
              <w:jc w:val="center"/>
              <w:rPr>
                <w:rFonts w:eastAsia="MS Mincho"/>
                <w:b/>
                <w:bCs/>
                <w:lang w:eastAsia="zh-CN" w:bidi="th-TH"/>
              </w:rPr>
            </w:pPr>
            <w:r w:rsidRPr="00C07D51">
              <w:rPr>
                <w:rFonts w:eastAsia="MS Mincho"/>
                <w:b/>
                <w:bCs/>
                <w:lang w:eastAsia="zh-CN" w:bidi="th-TH"/>
              </w:rPr>
              <w:t>16.6-17</w:t>
            </w:r>
          </w:p>
        </w:tc>
        <w:tc>
          <w:tcPr>
            <w:tcW w:w="611" w:type="dxa"/>
            <w:vAlign w:val="center"/>
          </w:tcPr>
          <w:p w:rsidR="00F43B6A" w:rsidRPr="00C07D51" w:rsidRDefault="00F43B6A" w:rsidP="0012518A">
            <w:pPr>
              <w:pStyle w:val="Tabletext"/>
              <w:jc w:val="center"/>
              <w:rPr>
                <w:rFonts w:eastAsia="MS Mincho"/>
                <w:b/>
                <w:bCs/>
                <w:lang w:eastAsia="zh-CN" w:bidi="th-TH"/>
              </w:rPr>
            </w:pPr>
            <w:r w:rsidRPr="00C07D51">
              <w:rPr>
                <w:rFonts w:eastAsia="MS Mincho"/>
                <w:b/>
                <w:bCs/>
                <w:lang w:eastAsia="zh-CN" w:bidi="th-TH"/>
              </w:rPr>
              <w:t>8</w:t>
            </w:r>
          </w:p>
        </w:tc>
      </w:tr>
    </w:tbl>
    <w:p w:rsidR="002F24E4" w:rsidRDefault="002F24E4">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p>
    <w:p w:rsidR="004C5828" w:rsidRDefault="004C582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br w:type="page"/>
      </w:r>
    </w:p>
    <w:p w:rsidR="00F43B6A" w:rsidRPr="003D7BD2" w:rsidRDefault="004C5828" w:rsidP="003D7BD2">
      <w:pPr>
        <w:pStyle w:val="Headingb"/>
        <w:rPr>
          <w:lang w:val="en-US"/>
        </w:rPr>
      </w:pPr>
      <w:r w:rsidRPr="003D7BD2">
        <w:rPr>
          <w:lang w:val="en-US"/>
        </w:rPr>
        <w:lastRenderedPageBreak/>
        <w:t>Iran's Proposals on agenda i</w:t>
      </w:r>
      <w:r w:rsidR="00F43B6A" w:rsidRPr="003D7BD2">
        <w:rPr>
          <w:lang w:val="en-US"/>
        </w:rPr>
        <w:t>tems 1.6.1 and 1.6.2</w:t>
      </w:r>
    </w:p>
    <w:p w:rsidR="00F43B6A" w:rsidRDefault="00F43B6A" w:rsidP="003D7BD2">
      <w:r w:rsidRPr="00D2449E">
        <w:t>This administration follow</w:t>
      </w:r>
      <w:r>
        <w:t>ed</w:t>
      </w:r>
      <w:r w:rsidRPr="00D2449E">
        <w:t xml:space="preserve"> the activities of ITU-R SG</w:t>
      </w:r>
      <w:r w:rsidR="0083282A">
        <w:t xml:space="preserve"> </w:t>
      </w:r>
      <w:r>
        <w:t>4 and</w:t>
      </w:r>
      <w:r w:rsidRPr="00D2449E">
        <w:t xml:space="preserve"> </w:t>
      </w:r>
      <w:r w:rsidR="00D931D4">
        <w:t>CPM15-2</w:t>
      </w:r>
      <w:r>
        <w:t xml:space="preserve"> </w:t>
      </w:r>
      <w:r w:rsidRPr="00D2449E">
        <w:t>and is of the view that:</w:t>
      </w:r>
    </w:p>
    <w:p w:rsidR="00F43B6A" w:rsidRPr="0022372A" w:rsidRDefault="003D7BD2" w:rsidP="0083282A">
      <w:pPr>
        <w:pStyle w:val="enumlev1"/>
        <w:rPr>
          <w:rFonts w:eastAsia="MS Mincho"/>
          <w:lang w:bidi="th-TH"/>
        </w:rPr>
      </w:pPr>
      <w:r w:rsidRPr="003D7BD2">
        <w:rPr>
          <w:rFonts w:eastAsia="MS Mincho"/>
          <w:lang w:bidi="th-TH"/>
        </w:rPr>
        <w:t>–</w:t>
      </w:r>
      <w:r>
        <w:rPr>
          <w:rFonts w:eastAsia="MS Mincho"/>
          <w:lang w:bidi="th-TH"/>
        </w:rPr>
        <w:tab/>
      </w:r>
      <w:r w:rsidR="00F43B6A">
        <w:rPr>
          <w:rFonts w:eastAsia="MS Mincho"/>
          <w:lang w:bidi="th-TH"/>
        </w:rPr>
        <w:t xml:space="preserve">The 14.5-14.8 GHz band is now </w:t>
      </w:r>
      <w:r w:rsidR="00F43B6A" w:rsidRPr="0022372A">
        <w:rPr>
          <w:rFonts w:eastAsia="MS Mincho"/>
          <w:lang w:bidi="th-TH"/>
        </w:rPr>
        <w:t xml:space="preserve">used for feeder links of the BSS Regions 1 </w:t>
      </w:r>
      <w:r w:rsidR="0083282A">
        <w:rPr>
          <w:rFonts w:eastAsia="MS Mincho"/>
          <w:lang w:bidi="th-TH"/>
        </w:rPr>
        <w:t>and</w:t>
      </w:r>
      <w:r w:rsidR="00F43B6A" w:rsidRPr="0022372A">
        <w:rPr>
          <w:rFonts w:eastAsia="MS Mincho"/>
          <w:lang w:bidi="th-TH"/>
        </w:rPr>
        <w:t xml:space="preserve"> 3</w:t>
      </w:r>
      <w:r w:rsidR="00F43B6A">
        <w:rPr>
          <w:rFonts w:eastAsia="MS Mincho"/>
          <w:lang w:bidi="th-TH"/>
        </w:rPr>
        <w:t xml:space="preserve"> Plan</w:t>
      </w:r>
      <w:r w:rsidR="00F43B6A" w:rsidRPr="0022372A">
        <w:rPr>
          <w:rFonts w:eastAsia="MS Mincho"/>
          <w:lang w:bidi="th-TH"/>
        </w:rPr>
        <w:t>, Except Europe. (See Doc. CPM15-2/41-E)</w:t>
      </w:r>
      <w:r>
        <w:rPr>
          <w:rFonts w:eastAsia="MS Mincho"/>
          <w:lang w:bidi="th-TH"/>
        </w:rPr>
        <w:t>.</w:t>
      </w:r>
    </w:p>
    <w:p w:rsidR="00F43B6A" w:rsidRPr="00505479" w:rsidRDefault="003D7BD2" w:rsidP="003D7BD2">
      <w:pPr>
        <w:pStyle w:val="enumlev1"/>
        <w:rPr>
          <w:rFonts w:eastAsia="MS Mincho"/>
          <w:lang w:bidi="th-TH"/>
        </w:rPr>
      </w:pPr>
      <w:r w:rsidRPr="003D7BD2">
        <w:rPr>
          <w:rFonts w:eastAsia="MS Mincho"/>
          <w:lang w:bidi="th-TH"/>
        </w:rPr>
        <w:t>–</w:t>
      </w:r>
      <w:r>
        <w:rPr>
          <w:rFonts w:eastAsia="MS Mincho"/>
          <w:lang w:bidi="th-TH"/>
        </w:rPr>
        <w:tab/>
      </w:r>
      <w:r w:rsidR="00F43B6A">
        <w:rPr>
          <w:rFonts w:eastAsia="MS Mincho"/>
          <w:lang w:bidi="th-TH"/>
        </w:rPr>
        <w:t>The current EPM values of Plan assignment for some countries in the 14.5-14.8 GHz band has degraded and any further decrease in EPM values may lead to non-practicable Networks which is against Planning concept.</w:t>
      </w:r>
      <w:r w:rsidR="00F43B6A" w:rsidRPr="000B554D">
        <w:rPr>
          <w:rFonts w:eastAsia="MS Mincho"/>
          <w:lang w:bidi="th-TH"/>
        </w:rPr>
        <w:t xml:space="preserve"> </w:t>
      </w:r>
      <w:r w:rsidR="00F43B6A">
        <w:rPr>
          <w:rFonts w:eastAsia="MS Mincho"/>
        </w:rPr>
        <w:t>(</w:t>
      </w:r>
      <w:r w:rsidR="00F43B6A">
        <w:rPr>
          <w:rFonts w:eastAsia="MS Mincho"/>
          <w:lang w:bidi="th-TH"/>
        </w:rPr>
        <w:t xml:space="preserve">See Doc. </w:t>
      </w:r>
      <w:r w:rsidR="00F43B6A" w:rsidRPr="00387569">
        <w:rPr>
          <w:rFonts w:eastAsia="MS Mincho"/>
          <w:lang w:bidi="th-TH"/>
        </w:rPr>
        <w:t>CPM15-2/41-E</w:t>
      </w:r>
      <w:r w:rsidR="00F43B6A">
        <w:rPr>
          <w:rFonts w:eastAsia="MS Mincho"/>
          <w:lang w:bidi="th-TH"/>
        </w:rPr>
        <w:t>)</w:t>
      </w:r>
      <w:r>
        <w:rPr>
          <w:rFonts w:eastAsia="MS Mincho"/>
          <w:lang w:bidi="th-TH"/>
        </w:rPr>
        <w:t>.</w:t>
      </w:r>
    </w:p>
    <w:p w:rsidR="00F43B6A" w:rsidRDefault="003D7BD2" w:rsidP="003D7BD2">
      <w:pPr>
        <w:pStyle w:val="enumlev1"/>
        <w:rPr>
          <w:rFonts w:eastAsia="MS Mincho"/>
          <w:lang w:bidi="th-TH"/>
        </w:rPr>
      </w:pPr>
      <w:r w:rsidRPr="003D7BD2">
        <w:rPr>
          <w:rFonts w:eastAsia="MS Mincho"/>
          <w:lang w:bidi="th-TH"/>
        </w:rPr>
        <w:t>–</w:t>
      </w:r>
      <w:r>
        <w:rPr>
          <w:rFonts w:eastAsia="MS Mincho"/>
          <w:lang w:bidi="th-TH"/>
        </w:rPr>
        <w:tab/>
      </w:r>
      <w:r w:rsidR="00F43B6A">
        <w:rPr>
          <w:rFonts w:eastAsia="MS Mincho"/>
          <w:lang w:bidi="th-TH"/>
        </w:rPr>
        <w:t>The feasibility studies done by ITU-R do not show any complete compatibility</w:t>
      </w:r>
      <w:r w:rsidR="00F43B6A" w:rsidRPr="00C41300">
        <w:rPr>
          <w:rFonts w:eastAsia="MS Mincho"/>
          <w:lang w:bidi="th-TH"/>
        </w:rPr>
        <w:t xml:space="preserve"> </w:t>
      </w:r>
      <w:r w:rsidR="00F43B6A">
        <w:rPr>
          <w:rFonts w:eastAsia="MS Mincho"/>
          <w:lang w:bidi="th-TH"/>
        </w:rPr>
        <w:t>for sharing this band with FSS Feeder link (e</w:t>
      </w:r>
      <w:r w:rsidR="009C5596">
        <w:rPr>
          <w:rFonts w:eastAsia="MS Mincho"/>
          <w:lang w:bidi="th-TH"/>
        </w:rPr>
        <w:t>.</w:t>
      </w:r>
      <w:r w:rsidR="00F43B6A">
        <w:rPr>
          <w:rFonts w:eastAsia="MS Mincho"/>
          <w:lang w:bidi="th-TH"/>
        </w:rPr>
        <w:t>g. AMS sharing case described hereinabove).</w:t>
      </w:r>
    </w:p>
    <w:p w:rsidR="00F43B6A" w:rsidRDefault="003D7BD2" w:rsidP="003D7BD2">
      <w:pPr>
        <w:pStyle w:val="enumlev1"/>
        <w:rPr>
          <w:rFonts w:eastAsia="MS Mincho"/>
          <w:lang w:bidi="th-TH"/>
        </w:rPr>
      </w:pPr>
      <w:r w:rsidRPr="003D7BD2">
        <w:rPr>
          <w:rFonts w:eastAsia="MS Mincho"/>
          <w:lang w:bidi="th-TH"/>
        </w:rPr>
        <w:t>–</w:t>
      </w:r>
      <w:r>
        <w:rPr>
          <w:rFonts w:eastAsia="MS Mincho"/>
          <w:lang w:bidi="th-TH"/>
        </w:rPr>
        <w:tab/>
      </w:r>
      <w:r w:rsidR="00F43B6A">
        <w:rPr>
          <w:rFonts w:eastAsia="MS Mincho"/>
          <w:lang w:bidi="th-TH"/>
        </w:rPr>
        <w:t>Due to large number of FSS Feeder links, the cumulative interfering effect of adding FSS to this band may be far more than the limited number of stations considered in</w:t>
      </w:r>
      <w:r w:rsidR="004C5828">
        <w:rPr>
          <w:rFonts w:eastAsia="MS Mincho"/>
          <w:lang w:bidi="th-TH"/>
        </w:rPr>
        <w:t xml:space="preserve"> studies (e.g. 1 to 6 operating</w:t>
      </w:r>
      <w:r w:rsidR="00F43B6A">
        <w:rPr>
          <w:rFonts w:eastAsia="MS Mincho"/>
          <w:lang w:bidi="th-TH"/>
        </w:rPr>
        <w:t xml:space="preserve"> FSS Feeder Links)</w:t>
      </w:r>
      <w:r>
        <w:rPr>
          <w:rFonts w:eastAsia="MS Mincho"/>
          <w:lang w:bidi="th-TH"/>
        </w:rPr>
        <w:t>.</w:t>
      </w:r>
    </w:p>
    <w:p w:rsidR="00F43B6A" w:rsidRDefault="00F43B6A" w:rsidP="003D7BD2">
      <w:pPr>
        <w:rPr>
          <w:rFonts w:eastAsia="Batang"/>
          <w:b/>
          <w:bCs/>
        </w:rPr>
      </w:pPr>
      <w:r>
        <w:rPr>
          <w:rFonts w:eastAsia="MS Mincho"/>
          <w:lang w:bidi="th-TH"/>
        </w:rPr>
        <w:t>Therefore, this Administration supports Method F1</w:t>
      </w:r>
      <w:r w:rsidR="0083282A">
        <w:rPr>
          <w:rFonts w:eastAsia="MS Mincho"/>
          <w:lang w:bidi="th-TH"/>
        </w:rPr>
        <w:t xml:space="preserve"> </w:t>
      </w:r>
      <w:r>
        <w:rPr>
          <w:rFonts w:eastAsia="MS Mincho"/>
          <w:lang w:bidi="th-TH"/>
        </w:rPr>
        <w:t>(NOC) for the 14.5-14.8 GHz band, for the agenda items 1.6.1 and 1.6.2.</w:t>
      </w:r>
    </w:p>
    <w:p w:rsidR="002F24E4" w:rsidRPr="0076781E" w:rsidRDefault="002F24E4" w:rsidP="003D7BD2">
      <w:pPr>
        <w:pStyle w:val="Headingb"/>
        <w:rPr>
          <w:lang w:val="en-GB"/>
        </w:rPr>
      </w:pPr>
      <w:r w:rsidRPr="0076781E">
        <w:rPr>
          <w:lang w:val="en-GB"/>
        </w:rPr>
        <w:t>Proposals</w:t>
      </w:r>
    </w:p>
    <w:p w:rsidR="00F43B6A" w:rsidRDefault="00F43B6A" w:rsidP="00F43B6A">
      <w:pPr>
        <w:rPr>
          <w:rFonts w:eastAsia="Batang"/>
          <w:b/>
          <w:bCs/>
        </w:rPr>
      </w:pPr>
    </w:p>
    <w:p w:rsidR="00187BD9" w:rsidRPr="00F43B6A" w:rsidRDefault="00187BD9" w:rsidP="00F43B6A">
      <w:r w:rsidRPr="00F43B6A">
        <w:br w:type="page"/>
      </w:r>
    </w:p>
    <w:p w:rsidR="009B463A" w:rsidRDefault="004C5828"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4C5828" w:rsidP="009B463A">
      <w:pPr>
        <w:pStyle w:val="Arttitle"/>
        <w:rPr>
          <w:lang w:val="en-US"/>
        </w:rPr>
      </w:pPr>
      <w:bookmarkStart w:id="10" w:name="_Toc327956583"/>
      <w:r w:rsidRPr="006D07BF">
        <w:t>Frequency</w:t>
      </w:r>
      <w:r>
        <w:t xml:space="preserve"> allocations</w:t>
      </w:r>
      <w:bookmarkEnd w:id="10"/>
    </w:p>
    <w:p w:rsidR="009B463A" w:rsidRPr="00B25B23" w:rsidRDefault="004C5828"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B36F54" w:rsidRDefault="004C5828">
      <w:pPr>
        <w:pStyle w:val="Proposal"/>
      </w:pPr>
      <w:r>
        <w:rPr>
          <w:u w:val="single"/>
        </w:rPr>
        <w:t>NOC</w:t>
      </w:r>
      <w:r>
        <w:tab/>
        <w:t>IRN/61A6/1</w:t>
      </w:r>
    </w:p>
    <w:p w:rsidR="009B463A" w:rsidRPr="005A0175" w:rsidRDefault="004C5828" w:rsidP="009B463A">
      <w:pPr>
        <w:pStyle w:val="Tabletitle"/>
      </w:pPr>
      <w:r w:rsidRPr="005A0175">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C96DC5" w:rsidRDefault="004C5828" w:rsidP="00477577">
            <w:pPr>
              <w:pStyle w:val="Tablehead"/>
              <w:rPr>
                <w:lang w:val="en-US"/>
              </w:rPr>
            </w:pPr>
            <w:r>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4C5828" w:rsidP="00477577">
            <w:pPr>
              <w:pStyle w:val="Tablehead"/>
            </w:pPr>
            <w:r w:rsidRPr="00651908">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4C5828" w:rsidP="00477577">
            <w:pPr>
              <w:pStyle w:val="Tablehead"/>
            </w:pPr>
            <w:r w:rsidRPr="00651908">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4C5828" w:rsidP="00477577">
            <w:pPr>
              <w:pStyle w:val="Tablehead"/>
            </w:pPr>
            <w:r w:rsidRPr="00651908">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4C5828" w:rsidP="00477577">
            <w:pPr>
              <w:pStyle w:val="TableTextS5"/>
              <w:spacing w:before="30" w:after="30" w:line="210" w:lineRule="exact"/>
              <w:rPr>
                <w:color w:val="000000"/>
                <w:lang w:val="en-AU"/>
              </w:rPr>
            </w:pPr>
            <w:r w:rsidRPr="00D518E2">
              <w:rPr>
                <w:rStyle w:val="Tablefreq"/>
              </w:rPr>
              <w:t>14.5-14.8</w:t>
            </w:r>
            <w:r>
              <w:rPr>
                <w:color w:val="000000"/>
                <w:lang w:val="en-AU"/>
              </w:rPr>
              <w:tab/>
              <w:t>FIXED</w:t>
            </w:r>
          </w:p>
          <w:p w:rsidR="009B463A" w:rsidRDefault="004C5828" w:rsidP="00477577">
            <w:pPr>
              <w:pStyle w:val="TableTextS5"/>
              <w:spacing w:before="30" w:after="30" w:line="21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5.510</w:t>
            </w:r>
          </w:p>
          <w:p w:rsidR="009B463A" w:rsidRDefault="004C5828" w:rsidP="00477577">
            <w:pPr>
              <w:pStyle w:val="TableTextS5"/>
              <w:spacing w:before="30" w:after="30" w:line="21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9B463A" w:rsidRDefault="004C5828" w:rsidP="00477577">
            <w:pPr>
              <w:pStyle w:val="TableTextS5"/>
              <w:spacing w:before="30" w:after="30" w:line="21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Space research</w:t>
            </w:r>
          </w:p>
        </w:tc>
      </w:tr>
    </w:tbl>
    <w:p w:rsidR="00B36F54" w:rsidRDefault="004C5828">
      <w:pPr>
        <w:pStyle w:val="Reasons"/>
      </w:pPr>
      <w:r>
        <w:rPr>
          <w:b/>
        </w:rPr>
        <w:t>Reasons:</w:t>
      </w:r>
      <w:r>
        <w:tab/>
      </w:r>
      <w:r w:rsidR="002E20F9" w:rsidRPr="00CD2478">
        <w:rPr>
          <w:lang w:val="en-US" w:eastAsia="en-GB"/>
        </w:rPr>
        <w:t>Each FSS earth station creates a volume where the AMS protection criterion is exceeded, as indicated in the studies. Such volume may extend to several hundreds of kilometres in latitude and longitude and preclude the AMS operations.</w:t>
      </w:r>
    </w:p>
    <w:p w:rsidR="00B36F54" w:rsidRDefault="004C5828">
      <w:pPr>
        <w:pStyle w:val="Proposal"/>
      </w:pPr>
      <w:r>
        <w:rPr>
          <w:u w:val="single"/>
        </w:rPr>
        <w:t>NOC</w:t>
      </w:r>
      <w:r>
        <w:tab/>
        <w:t>IRN/61A6/2</w:t>
      </w:r>
    </w:p>
    <w:p w:rsidR="009B463A" w:rsidRPr="005A0175" w:rsidRDefault="004C5828" w:rsidP="009B463A">
      <w:pPr>
        <w:pStyle w:val="Tabletitle"/>
      </w:pPr>
      <w:r w:rsidRPr="005A0175">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C96DC5" w:rsidRDefault="004C5828" w:rsidP="00477577">
            <w:pPr>
              <w:pStyle w:val="Tablehead"/>
              <w:rPr>
                <w:lang w:val="en-US"/>
              </w:rPr>
            </w:pPr>
            <w:r>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4C5828" w:rsidP="00477577">
            <w:pPr>
              <w:pStyle w:val="Tablehead"/>
            </w:pPr>
            <w:r w:rsidRPr="00651908">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4C5828" w:rsidP="00477577">
            <w:pPr>
              <w:pStyle w:val="Tablehead"/>
            </w:pPr>
            <w:r w:rsidRPr="00651908">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4C5828" w:rsidP="00477577">
            <w:pPr>
              <w:pStyle w:val="Tablehead"/>
            </w:pPr>
            <w:r w:rsidRPr="00651908">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4C5828" w:rsidP="00477577">
            <w:pPr>
              <w:pStyle w:val="TableTextS5"/>
              <w:spacing w:before="30" w:after="30" w:line="210" w:lineRule="exact"/>
              <w:rPr>
                <w:color w:val="000000"/>
                <w:lang w:val="en-AU"/>
              </w:rPr>
            </w:pPr>
            <w:r w:rsidRPr="00D518E2">
              <w:rPr>
                <w:rStyle w:val="Tablefreq"/>
              </w:rPr>
              <w:t>14.5-14.8</w:t>
            </w:r>
            <w:r>
              <w:rPr>
                <w:color w:val="000000"/>
                <w:lang w:val="en-AU"/>
              </w:rPr>
              <w:tab/>
              <w:t>FIXED</w:t>
            </w:r>
          </w:p>
          <w:p w:rsidR="009B463A" w:rsidRDefault="004C5828" w:rsidP="00477577">
            <w:pPr>
              <w:pStyle w:val="TableTextS5"/>
              <w:spacing w:before="30" w:after="30" w:line="21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5.510</w:t>
            </w:r>
          </w:p>
          <w:p w:rsidR="009B463A" w:rsidRDefault="004C5828" w:rsidP="00477577">
            <w:pPr>
              <w:pStyle w:val="TableTextS5"/>
              <w:spacing w:before="30" w:after="30" w:line="21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rsidR="009B463A" w:rsidRDefault="004C5828" w:rsidP="00477577">
            <w:pPr>
              <w:pStyle w:val="TableTextS5"/>
              <w:spacing w:before="30" w:after="30" w:line="21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Space research</w:t>
            </w:r>
          </w:p>
        </w:tc>
      </w:tr>
    </w:tbl>
    <w:p w:rsidR="00B36F54" w:rsidRDefault="004C5828" w:rsidP="002E20F9">
      <w:pPr>
        <w:pStyle w:val="Reasons"/>
        <w:rPr>
          <w:lang w:val="en-US" w:eastAsia="en-GB"/>
        </w:rPr>
      </w:pPr>
      <w:r>
        <w:rPr>
          <w:b/>
        </w:rPr>
        <w:t>Reasons:</w:t>
      </w:r>
      <w:r>
        <w:tab/>
      </w:r>
      <w:r w:rsidR="002E20F9" w:rsidRPr="00CD2478">
        <w:rPr>
          <w:lang w:val="en-US" w:eastAsia="en-GB"/>
        </w:rPr>
        <w:t>Each FSS earth station creates a volume where the AMS protection criterion is exceeded, as indicated in the studies. Such volume may extend to several hundreds of kilometres in latitude and longitude and preclude the AMS operations.</w:t>
      </w:r>
    </w:p>
    <w:p w:rsidR="002E20F9" w:rsidRDefault="002E20F9" w:rsidP="003D7BD2"/>
    <w:p w:rsidR="003D7BD2" w:rsidRDefault="003D7BD2" w:rsidP="0032202E">
      <w:pPr>
        <w:pStyle w:val="Reasons"/>
      </w:pPr>
    </w:p>
    <w:p w:rsidR="003D7BD2" w:rsidRDefault="003D7BD2">
      <w:pPr>
        <w:jc w:val="center"/>
      </w:pPr>
      <w:r>
        <w:t>______________</w:t>
      </w:r>
    </w:p>
    <w:p w:rsidR="002E20F9" w:rsidRDefault="002E20F9" w:rsidP="002E20F9">
      <w:pPr>
        <w:pStyle w:val="Reasons"/>
      </w:pPr>
    </w:p>
    <w:sectPr w:rsidR="002E20F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7108B">
      <w:rPr>
        <w:noProof/>
        <w:lang w:val="en-US"/>
      </w:rPr>
      <w:t>P:\ENG\ITU-R\CONF-R\CMR15\000\061ADD06E.docx</w:t>
    </w:r>
    <w:r>
      <w:fldChar w:fldCharType="end"/>
    </w:r>
    <w:r w:rsidRPr="0041348E">
      <w:rPr>
        <w:lang w:val="en-US"/>
      </w:rPr>
      <w:tab/>
    </w:r>
    <w:r>
      <w:fldChar w:fldCharType="begin"/>
    </w:r>
    <w:r>
      <w:instrText xml:space="preserve"> SAVEDATE \@ DD.MM.YY </w:instrText>
    </w:r>
    <w:r>
      <w:fldChar w:fldCharType="separate"/>
    </w:r>
    <w:r w:rsidR="0087108B">
      <w:rPr>
        <w:noProof/>
      </w:rPr>
      <w:t>25.10.15</w:t>
    </w:r>
    <w:r>
      <w:fldChar w:fldCharType="end"/>
    </w:r>
    <w:r w:rsidRPr="0041348E">
      <w:rPr>
        <w:lang w:val="en-US"/>
      </w:rPr>
      <w:tab/>
    </w:r>
    <w:r>
      <w:fldChar w:fldCharType="begin"/>
    </w:r>
    <w:r>
      <w:instrText xml:space="preserve"> PRINTDATE \@ DD.MM.YY </w:instrText>
    </w:r>
    <w:r>
      <w:fldChar w:fldCharType="separate"/>
    </w:r>
    <w:r w:rsidR="0087108B">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8A" w:rsidRDefault="0076781E" w:rsidP="0012518A">
    <w:pPr>
      <w:pStyle w:val="Footer"/>
    </w:pPr>
    <w:fldSimple w:instr=" FILENAME \p  \* MERGEFORMAT ">
      <w:r w:rsidR="0087108B">
        <w:t>P:\ENG\ITU-R\CONF-R\CMR15\000\061ADD06E.docx</w:t>
      </w:r>
    </w:fldSimple>
    <w:r w:rsidR="0012518A">
      <w:t>(388284)</w:t>
    </w:r>
    <w:r w:rsidR="0012518A">
      <w:tab/>
    </w:r>
    <w:r w:rsidR="0012518A">
      <w:fldChar w:fldCharType="begin"/>
    </w:r>
    <w:r w:rsidR="0012518A">
      <w:instrText xml:space="preserve"> SAVEDATE \@ DD.MM.YY </w:instrText>
    </w:r>
    <w:r w:rsidR="0012518A">
      <w:fldChar w:fldCharType="separate"/>
    </w:r>
    <w:r w:rsidR="0087108B">
      <w:t>25.10.15</w:t>
    </w:r>
    <w:r w:rsidR="0012518A">
      <w:fldChar w:fldCharType="end"/>
    </w:r>
    <w:r w:rsidR="0012518A">
      <w:tab/>
    </w:r>
    <w:r w:rsidR="0012518A">
      <w:fldChar w:fldCharType="begin"/>
    </w:r>
    <w:r w:rsidR="0012518A">
      <w:instrText xml:space="preserve"> PRINTDATE \@ DD.MM.YY </w:instrText>
    </w:r>
    <w:r w:rsidR="0012518A">
      <w:fldChar w:fldCharType="separate"/>
    </w:r>
    <w:r w:rsidR="0087108B">
      <w:t>25.10.15</w:t>
    </w:r>
    <w:r w:rsidR="0012518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8A" w:rsidRDefault="0087108B">
    <w:pPr>
      <w:pStyle w:val="Footer"/>
    </w:pPr>
    <w:r>
      <w:fldChar w:fldCharType="begin"/>
    </w:r>
    <w:r>
      <w:instrText xml:space="preserve"> FILENAME \p  \* MERGEFORMAT </w:instrText>
    </w:r>
    <w:r>
      <w:fldChar w:fldCharType="separate"/>
    </w:r>
    <w:r>
      <w:t>P:\ENG\ITU-R\CONF-R\CMR15\000\061ADD06E.docx</w:t>
    </w:r>
    <w:r>
      <w:fldChar w:fldCharType="end"/>
    </w:r>
    <w:r w:rsidR="0012518A">
      <w:t>(388284)</w:t>
    </w:r>
    <w:r w:rsidR="0012518A">
      <w:tab/>
    </w:r>
    <w:r w:rsidR="0012518A">
      <w:fldChar w:fldCharType="begin"/>
    </w:r>
    <w:r w:rsidR="0012518A">
      <w:instrText xml:space="preserve"> SAVEDATE \@ DD.MM.YY </w:instrText>
    </w:r>
    <w:r w:rsidR="0012518A">
      <w:fldChar w:fldCharType="separate"/>
    </w:r>
    <w:r>
      <w:t>25.10.15</w:t>
    </w:r>
    <w:r w:rsidR="0012518A">
      <w:fldChar w:fldCharType="end"/>
    </w:r>
    <w:r w:rsidR="0012518A">
      <w:tab/>
    </w:r>
    <w:r w:rsidR="0012518A">
      <w:fldChar w:fldCharType="begin"/>
    </w:r>
    <w:r w:rsidR="0012518A">
      <w:instrText xml:space="preserve"> PRINTDATE \@ DD.MM.YY </w:instrText>
    </w:r>
    <w:r w:rsidR="0012518A">
      <w:fldChar w:fldCharType="separate"/>
    </w:r>
    <w:r>
      <w:t>25.10.15</w:t>
    </w:r>
    <w:r w:rsidR="0012518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7108B">
      <w:rPr>
        <w:noProof/>
      </w:rPr>
      <w:t>4</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61(Add.6)</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0177B23"/>
    <w:multiLevelType w:val="hybridMultilevel"/>
    <w:tmpl w:val="37844B1E"/>
    <w:lvl w:ilvl="0" w:tplc="CA4A308E">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1FED"/>
    <w:rsid w:val="00022A29"/>
    <w:rsid w:val="000355FD"/>
    <w:rsid w:val="00051E39"/>
    <w:rsid w:val="000705F2"/>
    <w:rsid w:val="00077239"/>
    <w:rsid w:val="00086491"/>
    <w:rsid w:val="00091346"/>
    <w:rsid w:val="0009706C"/>
    <w:rsid w:val="000D154B"/>
    <w:rsid w:val="000F73FF"/>
    <w:rsid w:val="00114CF7"/>
    <w:rsid w:val="00123B68"/>
    <w:rsid w:val="0012518A"/>
    <w:rsid w:val="00126F2E"/>
    <w:rsid w:val="00146F6F"/>
    <w:rsid w:val="00187BD9"/>
    <w:rsid w:val="00190B55"/>
    <w:rsid w:val="001C3B5F"/>
    <w:rsid w:val="001D058F"/>
    <w:rsid w:val="002009EA"/>
    <w:rsid w:val="00202CA0"/>
    <w:rsid w:val="00216B6D"/>
    <w:rsid w:val="00241FA2"/>
    <w:rsid w:val="002548C4"/>
    <w:rsid w:val="00264A05"/>
    <w:rsid w:val="00271316"/>
    <w:rsid w:val="002B349C"/>
    <w:rsid w:val="002D58BE"/>
    <w:rsid w:val="002E20F9"/>
    <w:rsid w:val="002F24E4"/>
    <w:rsid w:val="00361B37"/>
    <w:rsid w:val="00377BD3"/>
    <w:rsid w:val="00384088"/>
    <w:rsid w:val="003852CE"/>
    <w:rsid w:val="0039169B"/>
    <w:rsid w:val="003A7F8C"/>
    <w:rsid w:val="003B2284"/>
    <w:rsid w:val="003B532E"/>
    <w:rsid w:val="003D0F8B"/>
    <w:rsid w:val="003D7BD2"/>
    <w:rsid w:val="003E0DB6"/>
    <w:rsid w:val="0041348E"/>
    <w:rsid w:val="00420873"/>
    <w:rsid w:val="00492075"/>
    <w:rsid w:val="004969AD"/>
    <w:rsid w:val="004A26C4"/>
    <w:rsid w:val="004B13CB"/>
    <w:rsid w:val="004C5828"/>
    <w:rsid w:val="004D26EA"/>
    <w:rsid w:val="004D2BFB"/>
    <w:rsid w:val="004D4DC7"/>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36F9"/>
    <w:rsid w:val="006A6E9B"/>
    <w:rsid w:val="006B7C2A"/>
    <w:rsid w:val="006C23DA"/>
    <w:rsid w:val="006E3D45"/>
    <w:rsid w:val="007149F9"/>
    <w:rsid w:val="00733A30"/>
    <w:rsid w:val="00745AEE"/>
    <w:rsid w:val="00750F10"/>
    <w:rsid w:val="0076781E"/>
    <w:rsid w:val="007742CA"/>
    <w:rsid w:val="00790D70"/>
    <w:rsid w:val="007A6F1F"/>
    <w:rsid w:val="007D5320"/>
    <w:rsid w:val="00800972"/>
    <w:rsid w:val="00804475"/>
    <w:rsid w:val="00811633"/>
    <w:rsid w:val="0083282A"/>
    <w:rsid w:val="00841216"/>
    <w:rsid w:val="0087108B"/>
    <w:rsid w:val="00872FC8"/>
    <w:rsid w:val="008845D0"/>
    <w:rsid w:val="00884D60"/>
    <w:rsid w:val="008B43F2"/>
    <w:rsid w:val="008B6CFF"/>
    <w:rsid w:val="009274B4"/>
    <w:rsid w:val="00934EA2"/>
    <w:rsid w:val="00944A5C"/>
    <w:rsid w:val="00952A66"/>
    <w:rsid w:val="009B7C9A"/>
    <w:rsid w:val="009C559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6F54"/>
    <w:rsid w:val="00B639E9"/>
    <w:rsid w:val="00B817CD"/>
    <w:rsid w:val="00B81A7D"/>
    <w:rsid w:val="00B94AD0"/>
    <w:rsid w:val="00BB3A95"/>
    <w:rsid w:val="00BD6CCE"/>
    <w:rsid w:val="00C0018F"/>
    <w:rsid w:val="00C07D51"/>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1D4"/>
    <w:rsid w:val="00D936BC"/>
    <w:rsid w:val="00D96530"/>
    <w:rsid w:val="00DD44AF"/>
    <w:rsid w:val="00DE2AC3"/>
    <w:rsid w:val="00DE5692"/>
    <w:rsid w:val="00DF4BC6"/>
    <w:rsid w:val="00E03C94"/>
    <w:rsid w:val="00E205BC"/>
    <w:rsid w:val="00E26226"/>
    <w:rsid w:val="00E45D05"/>
    <w:rsid w:val="00E55816"/>
    <w:rsid w:val="00E55AEF"/>
    <w:rsid w:val="00E72F65"/>
    <w:rsid w:val="00E976C1"/>
    <w:rsid w:val="00EA12E5"/>
    <w:rsid w:val="00EB55C6"/>
    <w:rsid w:val="00EF1932"/>
    <w:rsid w:val="00F02766"/>
    <w:rsid w:val="00F05BD4"/>
    <w:rsid w:val="00F43B6A"/>
    <w:rsid w:val="00F6155B"/>
    <w:rsid w:val="00F65C19"/>
    <w:rsid w:val="00FC031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462B289-78A9-443B-B449-16B4FB8F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link w:val="ListParagraphChar"/>
    <w:uiPriority w:val="34"/>
    <w:qFormat/>
    <w:rsid w:val="00F43B6A"/>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bidi="fa-IR"/>
    </w:rPr>
  </w:style>
  <w:style w:type="character" w:customStyle="1" w:styleId="ListParagraphChar">
    <w:name w:val="List Paragraph Char"/>
    <w:link w:val="ListParagraph"/>
    <w:uiPriority w:val="34"/>
    <w:locked/>
    <w:rsid w:val="00F43B6A"/>
    <w:rPr>
      <w:rFonts w:ascii="Times New Roman" w:eastAsia="BatangChe" w:hAnsi="Times New Roman"/>
      <w:sz w:val="24"/>
      <w:szCs w:val="24"/>
      <w:lang w:val="en-GB"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R15-WRC15-C-0061!A6!MSW-E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DD889F1F-3A20-4263-9625-4E06095424F2}">
  <ds:schemaRefs>
    <ds:schemaRef ds:uri="http://www.w3.org/XML/1998/namespace"/>
    <ds:schemaRef ds:uri="http://schemas.microsoft.com/office/infopath/2007/PartnerControls"/>
    <ds:schemaRef ds:uri="http://schemas.microsoft.com/office/2006/documentManagement/types"/>
    <ds:schemaRef ds:uri="32a1a8c5-2265-4ebc-b7a0-2071e2c5c9bb"/>
    <ds:schemaRef ds:uri="http://purl.org/dc/elements/1.1/"/>
    <ds:schemaRef ds:uri="http://schemas.openxmlformats.org/package/2006/metadata/core-properties"/>
    <ds:schemaRef ds:uri="http://purl.org/dc/terms/"/>
    <ds:schemaRef ds:uri="996b2e75-67fd-4955-a3b0-5ab9934cb5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88E664D-D415-4DBB-AED2-D8EEA574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35</TotalTime>
  <Pages>1</Pages>
  <Words>1477</Words>
  <Characters>7863</Characters>
  <Application>Microsoft Office Word</Application>
  <DocSecurity>0</DocSecurity>
  <Lines>276</Lines>
  <Paragraphs>156</Paragraphs>
  <ScaleCrop>false</ScaleCrop>
  <HeadingPairs>
    <vt:vector size="2" baseType="variant">
      <vt:variant>
        <vt:lpstr>Title</vt:lpstr>
      </vt:variant>
      <vt:variant>
        <vt:i4>1</vt:i4>
      </vt:variant>
    </vt:vector>
  </HeadingPairs>
  <TitlesOfParts>
    <vt:vector size="1" baseType="lpstr">
      <vt:lpstr>R15-WRC15-C-0061!A6!MSW-E</vt:lpstr>
    </vt:vector>
  </TitlesOfParts>
  <Manager>General Secretariat - Pool</Manager>
  <Company>International Telecommunication Union (ITU)</Company>
  <LinksUpToDate>false</LinksUpToDate>
  <CharactersWithSpaces>9217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R15-WRC15-C-0061!A6!MSW-E</dc:title>
  <dc:subject>World Radiocommunication Conference - 2015</dc:subject>
  <dc:creator>Documents Proposals Manager (DPM)</dc:creator>
  <cp:keywords>DPM_v5.2015.10.8_prod</cp:keywords>
  <dc:description>Uploaded on 2015.07.06</dc:description>
  <cp:lastModifiedBy>Jones, Jacqueline</cp:lastModifiedBy>
  <cp:revision>10</cp:revision>
  <cp:lastPrinted>2015-10-25T18:09:00Z</cp:lastPrinted>
  <dcterms:created xsi:type="dcterms:W3CDTF">2015-10-18T14:38:00Z</dcterms:created>
  <dcterms:modified xsi:type="dcterms:W3CDTF">2015-10-25T18:09:00Z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