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5954"/>
        <w:gridCol w:w="4077"/>
      </w:tblGrid>
      <w:tr w:rsidR="00622560" w:rsidTr="00706F61">
        <w:trPr>
          <w:cantSplit/>
        </w:trPr>
        <w:tc>
          <w:tcPr>
            <w:tcW w:w="5954"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4077"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167E31D0" wp14:editId="0249A992">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706F61">
        <w:trPr>
          <w:cantSplit/>
        </w:trPr>
        <w:tc>
          <w:tcPr>
            <w:tcW w:w="5954"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4077"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706F61">
        <w:trPr>
          <w:cantSplit/>
        </w:trPr>
        <w:tc>
          <w:tcPr>
            <w:tcW w:w="5954"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4077"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706F61">
        <w:trPr>
          <w:cantSplit/>
          <w:trHeight w:val="23"/>
        </w:trPr>
        <w:tc>
          <w:tcPr>
            <w:tcW w:w="5954"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4077" w:type="dxa"/>
            <w:shd w:val="clear" w:color="auto" w:fill="auto"/>
          </w:tcPr>
          <w:p w:rsidR="00622560" w:rsidRPr="00622560" w:rsidRDefault="000273B7" w:rsidP="00706F61">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62 (Add.</w:t>
            </w:r>
            <w:r w:rsidR="00706F61">
              <w:rPr>
                <w:rFonts w:ascii="Verdana" w:hAnsi="Verdana" w:cs="Traditional Arabic"/>
                <w:b/>
                <w:sz w:val="20"/>
              </w:rPr>
              <w:t>23</w:t>
            </w:r>
            <w:r>
              <w:rPr>
                <w:rFonts w:ascii="Verdana" w:hAnsi="Verdana" w:cs="Traditional Arabic"/>
                <w:b/>
                <w:sz w:val="20"/>
              </w:rPr>
              <w:t>)(Add.</w:t>
            </w:r>
            <w:r w:rsidR="00706F61">
              <w:rPr>
                <w:rFonts w:ascii="Verdana" w:hAnsi="Verdana" w:cs="Traditional Arabic"/>
                <w:b/>
                <w:sz w:val="20"/>
              </w:rPr>
              <w:t>1</w:t>
            </w:r>
            <w:r>
              <w:rPr>
                <w:rFonts w:ascii="Verdana" w:hAnsi="Verdana" w:cs="Traditional Arabic"/>
                <w:b/>
                <w:sz w:val="20"/>
              </w:rPr>
              <w:t>)(Add.</w:t>
            </w:r>
            <w:r w:rsidR="00706F61">
              <w:rPr>
                <w:rFonts w:ascii="Verdana" w:hAnsi="Verdana" w:cs="Traditional Arabic"/>
                <w:b/>
                <w:sz w:val="20"/>
              </w:rPr>
              <w:t>5</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706F61">
        <w:trPr>
          <w:cantSplit/>
          <w:trHeight w:val="23"/>
        </w:trPr>
        <w:tc>
          <w:tcPr>
            <w:tcW w:w="5954" w:type="dxa"/>
            <w:shd w:val="clear" w:color="auto" w:fill="auto"/>
          </w:tcPr>
          <w:p w:rsidR="008221A4" w:rsidRPr="00C324A8" w:rsidRDefault="008221A4" w:rsidP="00A466E6">
            <w:pPr>
              <w:spacing w:before="0"/>
              <w:rPr>
                <w:rFonts w:ascii="Verdana" w:hAnsi="Verdana"/>
                <w:b/>
                <w:smallCaps/>
                <w:sz w:val="20"/>
              </w:rPr>
            </w:pPr>
          </w:p>
        </w:tc>
        <w:tc>
          <w:tcPr>
            <w:tcW w:w="4077"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706F61">
        <w:trPr>
          <w:cantSplit/>
          <w:trHeight w:val="23"/>
        </w:trPr>
        <w:tc>
          <w:tcPr>
            <w:tcW w:w="5954" w:type="dxa"/>
          </w:tcPr>
          <w:p w:rsidR="008221A4" w:rsidRPr="00CB4E5A" w:rsidRDefault="008221A4" w:rsidP="00A466E6">
            <w:pPr>
              <w:spacing w:before="0"/>
              <w:rPr>
                <w:rFonts w:ascii="Verdana" w:hAnsi="Verdana"/>
                <w:b/>
                <w:bCs/>
                <w:sz w:val="20"/>
              </w:rPr>
            </w:pPr>
          </w:p>
        </w:tc>
        <w:tc>
          <w:tcPr>
            <w:tcW w:w="4077" w:type="dxa"/>
          </w:tcPr>
          <w:p w:rsidR="008221A4" w:rsidRPr="00622560" w:rsidRDefault="008221A4" w:rsidP="00A466E6">
            <w:pPr>
              <w:spacing w:before="0"/>
              <w:rPr>
                <w:rFonts w:ascii="Verdana" w:hAnsi="Verdana"/>
                <w:sz w:val="20"/>
              </w:rPr>
            </w:pPr>
            <w:r w:rsidRPr="000273B7">
              <w:rPr>
                <w:rFonts w:ascii="Verdana" w:hAnsi="Verdana"/>
                <w:b/>
                <w:bCs/>
                <w:sz w:val="20"/>
              </w:rPr>
              <w:t>原文：中文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中华人民共和国</w:t>
            </w:r>
          </w:p>
        </w:tc>
      </w:tr>
      <w:tr w:rsidR="008221A4">
        <w:trPr>
          <w:cantSplit/>
        </w:trPr>
        <w:tc>
          <w:tcPr>
            <w:tcW w:w="10031" w:type="dxa"/>
            <w:gridSpan w:val="2"/>
          </w:tcPr>
          <w:p w:rsidR="008221A4" w:rsidRPr="00706F61" w:rsidRDefault="00706F61" w:rsidP="008221A4">
            <w:pPr>
              <w:pStyle w:val="Title1"/>
              <w:rPr>
                <w:lang w:val="fr-CH" w:eastAsia="zh-CN" w:bidi="ar-EG"/>
              </w:rPr>
            </w:pPr>
            <w:bookmarkStart w:id="5" w:name="dtitle1" w:colFirst="0" w:colLast="0"/>
            <w:bookmarkEnd w:id="4"/>
            <w:r>
              <w:rPr>
                <w:rFonts w:hint="eastAsia"/>
                <w:lang w:val="fr-CH" w:eastAsia="zh-CN" w:bidi="ar-EG"/>
              </w:rPr>
              <w:t>有关大会</w:t>
            </w:r>
            <w:r>
              <w:rPr>
                <w:lang w:val="fr-CH" w:eastAsia="zh-CN" w:bidi="ar-EG"/>
              </w:rPr>
              <w:t>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Pr="00C641D0" w:rsidRDefault="008221A4" w:rsidP="00C641D0">
            <w:pPr>
              <w:pStyle w:val="Agendaitem"/>
            </w:pPr>
            <w:bookmarkStart w:id="7" w:name="dtitle3" w:colFirst="0" w:colLast="0"/>
            <w:bookmarkEnd w:id="6"/>
            <w:r w:rsidRPr="000273B7">
              <w:t>议项</w:t>
            </w:r>
            <w:r w:rsidR="00A20EB8">
              <w:t>9.1</w:t>
            </w:r>
            <w:r w:rsidR="00C641D0">
              <w:t>(</w:t>
            </w:r>
            <w:r w:rsidRPr="000273B7">
              <w:t>9.1.5</w:t>
            </w:r>
            <w:r w:rsidR="00C641D0">
              <w:t>)</w:t>
            </w:r>
          </w:p>
        </w:tc>
      </w:tr>
    </w:tbl>
    <w:bookmarkEnd w:id="7"/>
    <w:p w:rsidR="001C0E40" w:rsidRDefault="00C641D0" w:rsidP="00706F61">
      <w:pPr>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090E12" w:rsidRPr="009C33AA" w:rsidRDefault="00C641D0" w:rsidP="00090E12">
      <w:pPr>
        <w:rPr>
          <w:lang w:eastAsia="zh-CN"/>
        </w:rPr>
      </w:pPr>
      <w:r w:rsidRPr="009C33AA">
        <w:rPr>
          <w:lang w:eastAsia="zh-CN"/>
        </w:rPr>
        <w:t>9.1</w:t>
      </w:r>
      <w:r w:rsidRPr="009C33AA">
        <w:rPr>
          <w:b/>
          <w:lang w:eastAsia="zh-CN"/>
        </w:rPr>
        <w:tab/>
      </w:r>
      <w:r w:rsidRPr="009C33AA">
        <w:rPr>
          <w:rFonts w:hint="eastAsia"/>
          <w:color w:val="000000"/>
          <w:lang w:eastAsia="zh-CN"/>
        </w:rPr>
        <w:t>自</w:t>
      </w:r>
      <w:r w:rsidRPr="009C33AA">
        <w:rPr>
          <w:color w:val="000000"/>
          <w:lang w:eastAsia="zh-CN"/>
        </w:rPr>
        <w:t>WRC-12</w:t>
      </w:r>
      <w:r w:rsidRPr="009C33AA">
        <w:rPr>
          <w:rFonts w:hint="eastAsia"/>
          <w:color w:val="000000"/>
          <w:lang w:eastAsia="zh-CN"/>
        </w:rPr>
        <w:t>以来无线电通信部门的活动；</w:t>
      </w:r>
    </w:p>
    <w:p w:rsidR="008B60D0" w:rsidRPr="00676FBA" w:rsidRDefault="00C641D0" w:rsidP="00A80C35">
      <w:pPr>
        <w:rPr>
          <w:lang w:eastAsia="zh-CN"/>
        </w:rPr>
      </w:pPr>
      <w:r w:rsidRPr="009C33AA">
        <w:rPr>
          <w:lang w:eastAsia="zh-CN"/>
        </w:rPr>
        <w:t>9.1</w:t>
      </w:r>
      <w:r>
        <w:rPr>
          <w:lang w:eastAsia="zh-CN"/>
        </w:rPr>
        <w:t>(9.1.5)</w:t>
      </w:r>
      <w:r w:rsidRPr="009C33AA">
        <w:rPr>
          <w:b/>
          <w:lang w:eastAsia="zh-CN"/>
        </w:rPr>
        <w:tab/>
      </w:r>
      <w:r>
        <w:rPr>
          <w:rFonts w:hint="eastAsia"/>
          <w:lang w:eastAsia="zh-CN"/>
        </w:rPr>
        <w:t>第</w:t>
      </w:r>
      <w:r w:rsidRPr="001D720F">
        <w:rPr>
          <w:rFonts w:hint="eastAsia"/>
          <w:b/>
          <w:bCs/>
          <w:lang w:eastAsia="zh-CN"/>
        </w:rPr>
        <w:t>154</w:t>
      </w:r>
      <w:r>
        <w:rPr>
          <w:rFonts w:hint="eastAsia"/>
          <w:lang w:eastAsia="zh-CN"/>
        </w:rPr>
        <w:t>号决议</w:t>
      </w:r>
      <w:r w:rsidRPr="001D720F">
        <w:rPr>
          <w:rFonts w:hint="eastAsia"/>
          <w:b/>
          <w:bCs/>
          <w:lang w:eastAsia="zh-CN"/>
        </w:rPr>
        <w:t>（</w:t>
      </w:r>
      <w:r w:rsidRPr="001D720F">
        <w:rPr>
          <w:rFonts w:hint="eastAsia"/>
          <w:b/>
          <w:bCs/>
          <w:lang w:eastAsia="zh-CN"/>
        </w:rPr>
        <w:t>WRC-12</w:t>
      </w:r>
      <w:r w:rsidRPr="001D720F">
        <w:rPr>
          <w:rFonts w:hint="eastAsia"/>
          <w:b/>
          <w:bCs/>
          <w:lang w:eastAsia="zh-CN"/>
        </w:rPr>
        <w:t>）</w:t>
      </w:r>
      <w:r>
        <w:rPr>
          <w:rFonts w:hint="eastAsia"/>
          <w:lang w:eastAsia="zh-CN"/>
        </w:rPr>
        <w:t>–为支持</w:t>
      </w:r>
      <w:r>
        <w:rPr>
          <w:rFonts w:hint="eastAsia"/>
          <w:lang w:eastAsia="zh-CN"/>
        </w:rPr>
        <w:t>3 400-4 200 MHz</w:t>
      </w:r>
      <w:r>
        <w:rPr>
          <w:rFonts w:hint="eastAsia"/>
          <w:lang w:eastAsia="zh-CN"/>
        </w:rPr>
        <w:t>频段内现有和未来卫星固定业务地球站的操作考虑采取技术和规则行动，以辅助</w:t>
      </w:r>
      <w:r>
        <w:rPr>
          <w:rFonts w:hint="eastAsia"/>
          <w:lang w:eastAsia="zh-CN"/>
        </w:rPr>
        <w:t>1</w:t>
      </w:r>
      <w:r>
        <w:rPr>
          <w:rFonts w:hint="eastAsia"/>
          <w:lang w:eastAsia="zh-CN"/>
        </w:rPr>
        <w:t>区一些国家航空器的安全操作和气象信息的可靠分发</w:t>
      </w:r>
      <w:r w:rsidR="00A80C35">
        <w:rPr>
          <w:rFonts w:hint="eastAsia"/>
          <w:lang w:eastAsia="zh-CN"/>
        </w:rPr>
        <w:t>。</w:t>
      </w:r>
    </w:p>
    <w:p w:rsidR="00622560" w:rsidRDefault="00622560"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A31D54" w:rsidRDefault="00A80C35">
      <w:pPr>
        <w:pStyle w:val="Proposal"/>
        <w:rPr>
          <w:lang w:eastAsia="zh-CN"/>
        </w:rPr>
      </w:pPr>
      <w:r>
        <w:rPr>
          <w:lang w:eastAsia="zh-CN"/>
        </w:rPr>
        <w:lastRenderedPageBreak/>
        <w:tab/>
      </w:r>
      <w:r w:rsidR="00C641D0">
        <w:rPr>
          <w:lang w:eastAsia="zh-CN"/>
        </w:rPr>
        <w:t>CHN/62A23A1A5/1</w:t>
      </w:r>
    </w:p>
    <w:p w:rsidR="00706F61" w:rsidRDefault="00706F61" w:rsidP="00706F61">
      <w:pPr>
        <w:rPr>
          <w:lang w:eastAsia="zh-CN"/>
        </w:rPr>
      </w:pPr>
      <w:r>
        <w:rPr>
          <w:rStyle w:val="Artdef"/>
          <w:lang w:eastAsia="zh-CN"/>
        </w:rPr>
        <w:t>一般性事项</w:t>
      </w:r>
      <w:r>
        <w:rPr>
          <w:lang w:eastAsia="zh-CN"/>
        </w:rPr>
        <w:tab/>
        <w:t>[</w:t>
      </w:r>
      <w:r>
        <w:rPr>
          <w:rFonts w:hint="eastAsia"/>
          <w:lang w:eastAsia="zh-CN"/>
        </w:rPr>
        <w:t>中国</w:t>
      </w:r>
      <w:r>
        <w:rPr>
          <w:lang w:eastAsia="zh-CN"/>
        </w:rPr>
        <w:t>认识到议题</w:t>
      </w:r>
      <w:r>
        <w:rPr>
          <w:rFonts w:hint="eastAsia"/>
          <w:lang w:eastAsia="zh-CN"/>
        </w:rPr>
        <w:t>9.1</w:t>
      </w:r>
      <w:r>
        <w:rPr>
          <w:rFonts w:hint="eastAsia"/>
          <w:lang w:eastAsia="zh-CN"/>
        </w:rPr>
        <w:t>议项</w:t>
      </w:r>
      <w:r>
        <w:rPr>
          <w:rFonts w:hint="eastAsia"/>
          <w:lang w:eastAsia="zh-CN"/>
        </w:rPr>
        <w:t>9.1.5</w:t>
      </w:r>
      <w:r>
        <w:rPr>
          <w:rFonts w:hint="eastAsia"/>
          <w:lang w:eastAsia="zh-CN"/>
        </w:rPr>
        <w:t>是</w:t>
      </w:r>
      <w:r>
        <w:rPr>
          <w:lang w:eastAsia="zh-CN"/>
        </w:rPr>
        <w:t>严格控制在</w:t>
      </w:r>
      <w:r>
        <w:rPr>
          <w:rFonts w:hint="eastAsia"/>
          <w:lang w:eastAsia="zh-CN"/>
        </w:rPr>
        <w:t>1</w:t>
      </w:r>
      <w:r>
        <w:rPr>
          <w:rFonts w:hint="eastAsia"/>
          <w:lang w:eastAsia="zh-CN"/>
        </w:rPr>
        <w:t>区</w:t>
      </w:r>
      <w:r>
        <w:rPr>
          <w:lang w:eastAsia="zh-CN"/>
        </w:rPr>
        <w:t>某些国家，不支持该议项的任何方面应用于</w:t>
      </w:r>
      <w:r>
        <w:rPr>
          <w:rFonts w:hint="eastAsia"/>
          <w:lang w:eastAsia="zh-CN"/>
        </w:rPr>
        <w:t>3</w:t>
      </w:r>
      <w:r>
        <w:rPr>
          <w:rFonts w:hint="eastAsia"/>
          <w:lang w:eastAsia="zh-CN"/>
        </w:rPr>
        <w:t>区</w:t>
      </w:r>
      <w:r>
        <w:rPr>
          <w:lang w:eastAsia="zh-CN"/>
        </w:rPr>
        <w:t>。</w:t>
      </w:r>
      <w:r>
        <w:rPr>
          <w:lang w:eastAsia="zh-CN"/>
        </w:rPr>
        <w:t>]</w:t>
      </w:r>
    </w:p>
    <w:p w:rsidR="00305F72" w:rsidRDefault="00706F61" w:rsidP="00706F61">
      <w:pPr>
        <w:pStyle w:val="Reasons"/>
        <w:rPr>
          <w:lang w:eastAsia="zh-CN"/>
        </w:rPr>
      </w:pPr>
      <w:r>
        <w:rPr>
          <w:b/>
          <w:lang w:eastAsia="zh-CN"/>
        </w:rPr>
        <w:t>理由：</w:t>
      </w:r>
    </w:p>
    <w:p w:rsidR="00706F61" w:rsidRDefault="00706F61" w:rsidP="00E40040">
      <w:pPr>
        <w:pStyle w:val="Reasons"/>
        <w:ind w:left="1134" w:hanging="1134"/>
        <w:rPr>
          <w:lang w:eastAsia="zh-CN"/>
        </w:rPr>
      </w:pPr>
      <w:r>
        <w:rPr>
          <w:rFonts w:hint="eastAsia"/>
          <w:lang w:eastAsia="zh-CN"/>
        </w:rPr>
        <w:t>a)</w:t>
      </w:r>
      <w:r>
        <w:rPr>
          <w:rFonts w:hint="eastAsia"/>
          <w:lang w:eastAsia="zh-CN"/>
        </w:rPr>
        <w:tab/>
        <w:t>3</w:t>
      </w:r>
      <w:bookmarkStart w:id="8" w:name="_GoBack"/>
      <w:bookmarkEnd w:id="8"/>
      <w:r>
        <w:rPr>
          <w:rFonts w:hint="eastAsia"/>
          <w:lang w:eastAsia="zh-CN"/>
        </w:rPr>
        <w:t xml:space="preserve"> 400-4 200 MHz</w:t>
      </w:r>
      <w:r>
        <w:rPr>
          <w:rFonts w:hint="eastAsia"/>
          <w:lang w:eastAsia="zh-CN"/>
        </w:rPr>
        <w:t>频段在全球广泛划分给作为主要业务的空对地方向的卫星固定业务和固定业务；</w:t>
      </w:r>
    </w:p>
    <w:p w:rsidR="00706F61" w:rsidRDefault="00706F61" w:rsidP="00E40040">
      <w:pPr>
        <w:pStyle w:val="Reasons"/>
        <w:ind w:left="1134" w:hanging="1134"/>
        <w:rPr>
          <w:lang w:eastAsia="zh-CN"/>
        </w:rPr>
      </w:pPr>
      <w:r>
        <w:rPr>
          <w:rFonts w:hint="eastAsia"/>
          <w:lang w:eastAsia="zh-CN"/>
        </w:rPr>
        <w:t>b)</w:t>
      </w:r>
      <w:r>
        <w:rPr>
          <w:rFonts w:hint="eastAsia"/>
          <w:lang w:eastAsia="zh-CN"/>
        </w:rPr>
        <w:tab/>
      </w:r>
      <w:r>
        <w:rPr>
          <w:rFonts w:hint="eastAsia"/>
          <w:lang w:eastAsia="zh-CN"/>
        </w:rPr>
        <w:t>第</w:t>
      </w:r>
      <w:r>
        <w:rPr>
          <w:rFonts w:hint="eastAsia"/>
          <w:lang w:eastAsia="zh-CN"/>
        </w:rPr>
        <w:t>5.432</w:t>
      </w:r>
      <w:r>
        <w:rPr>
          <w:lang w:eastAsia="zh-CN"/>
        </w:rPr>
        <w:t>B</w:t>
      </w:r>
      <w:r>
        <w:rPr>
          <w:rFonts w:hint="eastAsia"/>
          <w:lang w:eastAsia="zh-CN"/>
        </w:rPr>
        <w:t>款提及的</w:t>
      </w:r>
      <w:r>
        <w:rPr>
          <w:lang w:eastAsia="zh-CN"/>
        </w:rPr>
        <w:t>3</w:t>
      </w:r>
      <w:r>
        <w:rPr>
          <w:rFonts w:hint="eastAsia"/>
          <w:lang w:eastAsia="zh-CN"/>
        </w:rPr>
        <w:t>区国家将</w:t>
      </w:r>
      <w:r>
        <w:rPr>
          <w:rFonts w:hint="eastAsia"/>
          <w:lang w:eastAsia="zh-CN"/>
        </w:rPr>
        <w:t xml:space="preserve">3 400-3 </w:t>
      </w:r>
      <w:r>
        <w:rPr>
          <w:lang w:eastAsia="zh-CN"/>
        </w:rPr>
        <w:t>5</w:t>
      </w:r>
      <w:r>
        <w:rPr>
          <w:rFonts w:hint="eastAsia"/>
          <w:lang w:eastAsia="zh-CN"/>
        </w:rPr>
        <w:t>00 MHz</w:t>
      </w:r>
      <w:r>
        <w:rPr>
          <w:rFonts w:hint="eastAsia"/>
          <w:lang w:eastAsia="zh-CN"/>
        </w:rPr>
        <w:t>频段被划分给作为主要业务的除航空移动业务外的移动业务，并指定用于这些国家的国际移动通信（</w:t>
      </w:r>
      <w:r>
        <w:rPr>
          <w:rFonts w:hint="eastAsia"/>
          <w:lang w:eastAsia="zh-CN"/>
        </w:rPr>
        <w:t>IMT</w:t>
      </w:r>
      <w:r>
        <w:rPr>
          <w:rFonts w:hint="eastAsia"/>
          <w:lang w:eastAsia="zh-CN"/>
        </w:rPr>
        <w:t>）；</w:t>
      </w:r>
    </w:p>
    <w:p w:rsidR="00706F61" w:rsidRPr="00CD7EDE" w:rsidRDefault="00706F61" w:rsidP="00E40040">
      <w:pPr>
        <w:pStyle w:val="Reasons"/>
        <w:ind w:left="1134" w:hanging="1134"/>
        <w:rPr>
          <w:lang w:eastAsia="zh-CN"/>
        </w:rPr>
      </w:pPr>
      <w:r>
        <w:rPr>
          <w:lang w:eastAsia="zh-CN"/>
        </w:rPr>
        <w:t>c</w:t>
      </w:r>
      <w:r>
        <w:rPr>
          <w:rFonts w:hint="eastAsia"/>
          <w:lang w:eastAsia="zh-CN"/>
        </w:rPr>
        <w:t>)</w:t>
      </w:r>
      <w:r>
        <w:rPr>
          <w:rFonts w:hint="eastAsia"/>
          <w:lang w:eastAsia="zh-CN"/>
        </w:rPr>
        <w:tab/>
      </w:r>
      <w:r>
        <w:rPr>
          <w:rFonts w:hint="eastAsia"/>
          <w:lang w:eastAsia="zh-CN"/>
        </w:rPr>
        <w:t>第</w:t>
      </w:r>
      <w:r>
        <w:rPr>
          <w:rFonts w:hint="eastAsia"/>
          <w:lang w:eastAsia="zh-CN"/>
        </w:rPr>
        <w:t>5.43</w:t>
      </w:r>
      <w:r>
        <w:rPr>
          <w:lang w:eastAsia="zh-CN"/>
        </w:rPr>
        <w:t>3A</w:t>
      </w:r>
      <w:r>
        <w:rPr>
          <w:rFonts w:hint="eastAsia"/>
          <w:lang w:eastAsia="zh-CN"/>
        </w:rPr>
        <w:t>款提及的</w:t>
      </w:r>
      <w:r>
        <w:rPr>
          <w:lang w:eastAsia="zh-CN"/>
        </w:rPr>
        <w:t>3</w:t>
      </w:r>
      <w:r>
        <w:rPr>
          <w:rFonts w:hint="eastAsia"/>
          <w:lang w:eastAsia="zh-CN"/>
        </w:rPr>
        <w:t>区国家将</w:t>
      </w:r>
      <w:r>
        <w:rPr>
          <w:rFonts w:hint="eastAsia"/>
          <w:lang w:eastAsia="zh-CN"/>
        </w:rPr>
        <w:t xml:space="preserve">3 </w:t>
      </w:r>
      <w:r>
        <w:rPr>
          <w:lang w:eastAsia="zh-CN"/>
        </w:rPr>
        <w:t>5</w:t>
      </w:r>
      <w:r>
        <w:rPr>
          <w:rFonts w:hint="eastAsia"/>
          <w:lang w:eastAsia="zh-CN"/>
        </w:rPr>
        <w:t xml:space="preserve">00-3 </w:t>
      </w:r>
      <w:r>
        <w:rPr>
          <w:lang w:eastAsia="zh-CN"/>
        </w:rPr>
        <w:t>6</w:t>
      </w:r>
      <w:r>
        <w:rPr>
          <w:rFonts w:hint="eastAsia"/>
          <w:lang w:eastAsia="zh-CN"/>
        </w:rPr>
        <w:t>00 MHz</w:t>
      </w:r>
      <w:r>
        <w:rPr>
          <w:rFonts w:hint="eastAsia"/>
          <w:lang w:eastAsia="zh-CN"/>
        </w:rPr>
        <w:t>频段被划分给作为主要业务的除航空移动业务外的移动业务，并指定用于这些国家的国际移动通信（</w:t>
      </w:r>
      <w:r>
        <w:rPr>
          <w:rFonts w:hint="eastAsia"/>
          <w:lang w:eastAsia="zh-CN"/>
        </w:rPr>
        <w:t>IMT</w:t>
      </w:r>
      <w:r>
        <w:rPr>
          <w:rFonts w:hint="eastAsia"/>
          <w:lang w:eastAsia="zh-CN"/>
        </w:rPr>
        <w:t>）。</w:t>
      </w:r>
    </w:p>
    <w:p w:rsidR="00706F61" w:rsidRDefault="00706F61" w:rsidP="0032202E">
      <w:pPr>
        <w:pStyle w:val="Reasons"/>
        <w:rPr>
          <w:lang w:eastAsia="zh-CN"/>
        </w:rPr>
      </w:pPr>
    </w:p>
    <w:p w:rsidR="00E40040" w:rsidRDefault="00E40040" w:rsidP="0032202E">
      <w:pPr>
        <w:pStyle w:val="Reasons"/>
        <w:rPr>
          <w:lang w:eastAsia="zh-CN"/>
        </w:rPr>
      </w:pPr>
    </w:p>
    <w:p w:rsidR="00706F61" w:rsidRDefault="00706F61">
      <w:pPr>
        <w:jc w:val="center"/>
      </w:pPr>
      <w:r>
        <w:t>______________</w:t>
      </w:r>
    </w:p>
    <w:sectPr w:rsidR="00706F61">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706F61">
      <w:rPr>
        <w:lang w:val="en-US"/>
      </w:rPr>
      <w:t>P:\CHI\ITU-R\CONF-R\CMR15\000\062ADD23ADD01ADD05C.docx</w:t>
    </w:r>
    <w:r>
      <w:fldChar w:fldCharType="end"/>
    </w:r>
    <w:r w:rsidR="00706F61">
      <w:t xml:space="preserve"> (388527)</w:t>
    </w:r>
    <w:r w:rsidRPr="00DA0469">
      <w:rPr>
        <w:lang w:val="en-US"/>
      </w:rPr>
      <w:tab/>
    </w:r>
    <w:r>
      <w:fldChar w:fldCharType="begin"/>
    </w:r>
    <w:r>
      <w:instrText xml:space="preserve"> savedate \@ dd.MM.yy </w:instrText>
    </w:r>
    <w:r>
      <w:fldChar w:fldCharType="separate"/>
    </w:r>
    <w:r w:rsidR="00E40040">
      <w:t>20.10.15</w:t>
    </w:r>
    <w:r>
      <w:fldChar w:fldCharType="end"/>
    </w:r>
    <w:r w:rsidRPr="00DA0469">
      <w:rPr>
        <w:lang w:val="en-US"/>
      </w:rPr>
      <w:tab/>
    </w:r>
    <w:r>
      <w:fldChar w:fldCharType="begin"/>
    </w:r>
    <w:r>
      <w:instrText xml:space="preserve"> printdate \@ dd.MM.yy </w:instrText>
    </w:r>
    <w:r>
      <w:fldChar w:fldCharType="separate"/>
    </w:r>
    <w:r w:rsidR="00622560">
      <w:t>03.07.06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706F61">
      <w:rPr>
        <w:lang w:val="en-US"/>
      </w:rPr>
      <w:t>P:\CHI\ITU-R\CONF-R\CMR15\000\062ADD23ADD01ADD05C.docx</w:t>
    </w:r>
    <w:r>
      <w:fldChar w:fldCharType="end"/>
    </w:r>
    <w:r w:rsidR="00706F61">
      <w:t xml:space="preserve"> (388527)</w:t>
    </w:r>
    <w:r w:rsidRPr="00DA0469">
      <w:rPr>
        <w:lang w:val="en-US"/>
      </w:rPr>
      <w:tab/>
    </w:r>
    <w:r>
      <w:fldChar w:fldCharType="begin"/>
    </w:r>
    <w:r>
      <w:instrText xml:space="preserve"> savedate \@ dd.MM.yy </w:instrText>
    </w:r>
    <w:r>
      <w:fldChar w:fldCharType="separate"/>
    </w:r>
    <w:r w:rsidR="00E40040">
      <w:t>20.10.15</w:t>
    </w:r>
    <w:r>
      <w:fldChar w:fldCharType="end"/>
    </w:r>
    <w:r w:rsidRPr="00DA0469">
      <w:rPr>
        <w:lang w:val="en-US"/>
      </w:rPr>
      <w:tab/>
    </w:r>
    <w:r>
      <w:fldChar w:fldCharType="begin"/>
    </w:r>
    <w:r>
      <w:instrText xml:space="preserve"> printdate \@ dd.MM.yy </w:instrText>
    </w:r>
    <w:r>
      <w:fldChar w:fldCharType="separate"/>
    </w:r>
    <w:r w:rsidR="00622560">
      <w:t>03.07.06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40040">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62(Add.23)(Add.1)(Add.5)-</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B6360"/>
    <w:rsid w:val="001F4EA6"/>
    <w:rsid w:val="00214959"/>
    <w:rsid w:val="002260A6"/>
    <w:rsid w:val="002742B3"/>
    <w:rsid w:val="002A4C9C"/>
    <w:rsid w:val="002B509B"/>
    <w:rsid w:val="002E2A59"/>
    <w:rsid w:val="002E4507"/>
    <w:rsid w:val="00305254"/>
    <w:rsid w:val="00305F72"/>
    <w:rsid w:val="003169D2"/>
    <w:rsid w:val="003B4BEF"/>
    <w:rsid w:val="003C57A1"/>
    <w:rsid w:val="003C6B45"/>
    <w:rsid w:val="0041282E"/>
    <w:rsid w:val="00437869"/>
    <w:rsid w:val="00465A34"/>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06F61"/>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72B7"/>
    <w:rsid w:val="00A0052C"/>
    <w:rsid w:val="00A20EB8"/>
    <w:rsid w:val="00A31B14"/>
    <w:rsid w:val="00A31D54"/>
    <w:rsid w:val="00A323DC"/>
    <w:rsid w:val="00A466E6"/>
    <w:rsid w:val="00A80C35"/>
    <w:rsid w:val="00A815BE"/>
    <w:rsid w:val="00AA5DA1"/>
    <w:rsid w:val="00AE369F"/>
    <w:rsid w:val="00B026CB"/>
    <w:rsid w:val="00B711CC"/>
    <w:rsid w:val="00B851D4"/>
    <w:rsid w:val="00B868FC"/>
    <w:rsid w:val="00B95072"/>
    <w:rsid w:val="00BB26CD"/>
    <w:rsid w:val="00C07239"/>
    <w:rsid w:val="00C364B1"/>
    <w:rsid w:val="00C47D87"/>
    <w:rsid w:val="00C627F9"/>
    <w:rsid w:val="00C641D0"/>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40040"/>
    <w:rsid w:val="00E560F1"/>
    <w:rsid w:val="00E92319"/>
    <w:rsid w:val="00E92848"/>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17666B-706E-4381-95E1-CD004AE8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R15-WRC15-C-0062!A23-A1-A5!MSW-C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B4B37B-E3A0-42BC-8EFC-2B06535A4F08}">
  <ds:schemaRefs>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elements/1.1/"/>
    <ds:schemaRef ds:uri="32a1a8c5-2265-4ebc-b7a0-2071e2c5c9bb"/>
    <ds:schemaRef ds:uri="996b2e75-67fd-4955-a3b0-5ab9934cb50b"/>
    <ds:schemaRef ds:uri="http://purl.org/dc/dcmitype/"/>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411</Words>
  <Characters>228</Characters>
  <Application>Microsoft Office Word</Application>
  <DocSecurity>0</DocSecurity>
  <Lines>12</Lines>
  <Paragraphs>18</Paragraphs>
  <ScaleCrop>false</ScaleCrop>
  <HeadingPairs>
    <vt:vector size="2" baseType="variant">
      <vt:variant>
        <vt:lpstr>Title</vt:lpstr>
      </vt:variant>
      <vt:variant>
        <vt:i4>1</vt:i4>
      </vt:variant>
    </vt:vector>
  </HeadingPairs>
  <TitlesOfParts>
    <vt:vector size="1" baseType="lpstr">
      <vt:lpstr>R15-WRC15-C-0062!A23-A1-A5!MSW-C</vt:lpstr>
    </vt:vector>
  </TitlesOfParts>
  <Manager>General Secretariat - Pool</Manager>
  <Company>International Telecommunication Union (ITU)</Company>
  <LinksUpToDate>false</LinksUpToDate>
  <CharactersWithSpaces>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R15-WRC15-C-0062!A23-A1-A5!MSW-C</dc:title>
  <dc:subject>World Radiocommunication Conference - 2015</dc:subject>
  <dc:creator>Documents Proposals Manager (DPM)</dc:creator>
  <cp:keywords>DPM_v5.2015.10.15_prod</cp:keywords>
  <dc:description/>
  <cp:lastModifiedBy>Li, Jianying</cp:lastModifiedBy>
  <cp:revision>7</cp:revision>
  <cp:lastPrinted>2006-07-03T06:56:00Z</cp:lastPrinted>
  <dcterms:created xsi:type="dcterms:W3CDTF">2015-10-20T07:44:00Z</dcterms:created>
  <dcterms:modified xsi:type="dcterms:W3CDTF">2015-10-28T10:57:00Z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