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969CB" w:rsidTr="0050008E">
        <w:trPr>
          <w:cantSplit/>
        </w:trPr>
        <w:tc>
          <w:tcPr>
            <w:tcW w:w="6911" w:type="dxa"/>
          </w:tcPr>
          <w:p w:rsidR="0090121B" w:rsidRPr="001969CB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969C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1969C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1969C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1969CB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969CB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969C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1969CB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1969CB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1969C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969CB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1969C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1969C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969CB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1969CB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969CB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1969CB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1969CB">
              <w:rPr>
                <w:rFonts w:ascii="Verdana" w:eastAsia="SimSun" w:hAnsi="Verdana" w:cs="Traditional Arabic"/>
                <w:b/>
                <w:sz w:val="20"/>
              </w:rPr>
              <w:t>Addéndum 8 al</w:t>
            </w:r>
            <w:r w:rsidRPr="001969CB">
              <w:rPr>
                <w:rFonts w:ascii="Verdana" w:eastAsia="SimSun" w:hAnsi="Verdana" w:cs="Traditional Arabic"/>
                <w:b/>
                <w:sz w:val="20"/>
              </w:rPr>
              <w:br/>
              <w:t>Documento 62(Add.23)(Add.1)</w:t>
            </w:r>
            <w:r w:rsidR="0090121B" w:rsidRPr="001969CB">
              <w:rPr>
                <w:rFonts w:ascii="Verdana" w:hAnsi="Verdana"/>
                <w:b/>
                <w:sz w:val="20"/>
              </w:rPr>
              <w:t>-</w:t>
            </w:r>
            <w:r w:rsidRPr="001969CB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1969CB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1969C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1969C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969CB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1969CB" w:rsidTr="0090121B">
        <w:trPr>
          <w:cantSplit/>
        </w:trPr>
        <w:tc>
          <w:tcPr>
            <w:tcW w:w="6911" w:type="dxa"/>
          </w:tcPr>
          <w:p w:rsidR="000A5B9A" w:rsidRPr="001969C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1969C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969CB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1969CB" w:rsidTr="006744FC">
        <w:trPr>
          <w:cantSplit/>
        </w:trPr>
        <w:tc>
          <w:tcPr>
            <w:tcW w:w="10031" w:type="dxa"/>
            <w:gridSpan w:val="2"/>
          </w:tcPr>
          <w:p w:rsidR="000A5B9A" w:rsidRPr="001969CB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1969CB" w:rsidTr="0050008E">
        <w:trPr>
          <w:cantSplit/>
        </w:trPr>
        <w:tc>
          <w:tcPr>
            <w:tcW w:w="10031" w:type="dxa"/>
            <w:gridSpan w:val="2"/>
          </w:tcPr>
          <w:p w:rsidR="000A5B9A" w:rsidRPr="001969CB" w:rsidRDefault="006C7AC2" w:rsidP="000A5B9A">
            <w:pPr>
              <w:pStyle w:val="Source"/>
            </w:pPr>
            <w:bookmarkStart w:id="2" w:name="dsource" w:colFirst="0" w:colLast="0"/>
            <w:r>
              <w:t>China (República Popular de)</w:t>
            </w:r>
          </w:p>
        </w:tc>
      </w:tr>
      <w:tr w:rsidR="000A5B9A" w:rsidRPr="001969CB" w:rsidTr="0050008E">
        <w:trPr>
          <w:cantSplit/>
        </w:trPr>
        <w:tc>
          <w:tcPr>
            <w:tcW w:w="10031" w:type="dxa"/>
            <w:gridSpan w:val="2"/>
          </w:tcPr>
          <w:p w:rsidR="000A5B9A" w:rsidRPr="001969CB" w:rsidRDefault="005007BA" w:rsidP="000A5B9A">
            <w:pPr>
              <w:pStyle w:val="Title1"/>
            </w:pPr>
            <w:bookmarkStart w:id="3" w:name="dtitle1" w:colFirst="0" w:colLast="0"/>
            <w:bookmarkEnd w:id="2"/>
            <w:r w:rsidRPr="001969CB">
              <w:t>PROPUESTAS PARA LOS TRABAJOS DE LA CONFERENCIA</w:t>
            </w:r>
          </w:p>
        </w:tc>
      </w:tr>
      <w:tr w:rsidR="000A5B9A" w:rsidRPr="001969CB" w:rsidTr="0050008E">
        <w:trPr>
          <w:cantSplit/>
        </w:trPr>
        <w:tc>
          <w:tcPr>
            <w:tcW w:w="10031" w:type="dxa"/>
            <w:gridSpan w:val="2"/>
          </w:tcPr>
          <w:p w:rsidR="000A5B9A" w:rsidRPr="001969CB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1969CB" w:rsidTr="0050008E">
        <w:trPr>
          <w:cantSplit/>
        </w:trPr>
        <w:tc>
          <w:tcPr>
            <w:tcW w:w="10031" w:type="dxa"/>
            <w:gridSpan w:val="2"/>
          </w:tcPr>
          <w:p w:rsidR="000A5B9A" w:rsidRPr="001969CB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1969CB">
              <w:t>Punto 9.1(9.1.8) del orden del día</w:t>
            </w:r>
          </w:p>
        </w:tc>
      </w:tr>
    </w:tbl>
    <w:bookmarkEnd w:id="5"/>
    <w:p w:rsidR="006C20F8" w:rsidRPr="001969CB" w:rsidRDefault="00764914" w:rsidP="006C20F8">
      <w:r w:rsidRPr="001969CB">
        <w:t>9</w:t>
      </w:r>
      <w:r w:rsidRPr="001969CB">
        <w:tab/>
        <w:t>examinar y aprobar el Informe del Director de la Oficina de Radiocomunicaciones, de conformidad con el Artículo 7 del Convenio:</w:t>
      </w:r>
    </w:p>
    <w:p w:rsidR="001C0E40" w:rsidRPr="001969CB" w:rsidRDefault="00764914" w:rsidP="00482C06">
      <w:r w:rsidRPr="001969CB">
        <w:t>9.1</w:t>
      </w:r>
      <w:r w:rsidRPr="001969CB">
        <w:tab/>
        <w:t>sobre las actividades del Sector de Radiocomunicaciones desde la CMR-12;</w:t>
      </w:r>
    </w:p>
    <w:p w:rsidR="001C0E40" w:rsidRPr="001969CB" w:rsidRDefault="00764914" w:rsidP="0067784E">
      <w:r w:rsidRPr="001969CB">
        <w:t xml:space="preserve">9.1(9.1.8) </w:t>
      </w:r>
      <w:r w:rsidRPr="001969CB">
        <w:tab/>
        <w:t xml:space="preserve">Resolución </w:t>
      </w:r>
      <w:r w:rsidRPr="001969CB">
        <w:rPr>
          <w:b/>
          <w:bCs/>
        </w:rPr>
        <w:t>757 (CMR-12)</w:t>
      </w:r>
      <w:r w:rsidRPr="001969CB">
        <w:t xml:space="preserve"> - Aspectos reglamentarios de los nanosatélites y los picosatélites</w:t>
      </w:r>
    </w:p>
    <w:p w:rsidR="003B4EBF" w:rsidRPr="001969CB" w:rsidRDefault="003B4EBF" w:rsidP="006C7AC2">
      <w:pPr>
        <w:pStyle w:val="Headingb"/>
        <w:spacing w:before="360"/>
      </w:pPr>
      <w:bookmarkStart w:id="6" w:name="_Toc409083736"/>
      <w:bookmarkStart w:id="7" w:name="_Toc405199039"/>
      <w:bookmarkStart w:id="8" w:name="_Toc416440519"/>
      <w:bookmarkStart w:id="9" w:name="_Toc416446880"/>
      <w:r w:rsidRPr="001969CB">
        <w:t>Antecedentes</w:t>
      </w:r>
      <w:bookmarkEnd w:id="6"/>
      <w:bookmarkEnd w:id="7"/>
      <w:bookmarkEnd w:id="8"/>
      <w:bookmarkEnd w:id="9"/>
    </w:p>
    <w:p w:rsidR="00866849" w:rsidRPr="001969CB" w:rsidRDefault="00866849" w:rsidP="00866849">
      <w:r w:rsidRPr="001969CB">
        <w:t>La CMR-12 adoptó la Resolución 757 (CMR-12), en la que se resuelve invitar a la CMR-19 a considerar si es preciso modificar los procedimientos reglamentarios para la notificación de redes de satélites con el fin de permitir el despliegue y explotación de los nanosatélites y los picosatélites, habida cuenta de su breve plazo de desarrollo, la corta duración de sus misiones y sus características orbitales particulares.</w:t>
      </w:r>
    </w:p>
    <w:p w:rsidR="008F5DDA" w:rsidRPr="001969CB" w:rsidRDefault="00866849" w:rsidP="00866849">
      <w:r w:rsidRPr="001969CB">
        <w:t>Los nanosatélites y los picosatélites, descritos comúnmente como satélites cuya masa oscila entre 0,1 y 10 kg y cuyas medidas no exceden los 0,5 m en ninguna dimensión lineal, tienen características físicas diferentes de las de los satélites más grandes. La fabricación de estos satélites suele durar poco tiempo (1-2 años) y tener un bajo costo, pues a menudo se utilizan componentes disponibles en el mercado. Además, los nanosatélites y los picosatélites se utilizan para muy diversas misiones y aplicaciones, incluida la teledetección, la investigación climática espacial, la investigación de las capas superiores de la atmósfera, la astronomía, las comunicaciones, la demostración tecnológica</w:t>
      </w:r>
      <w:r w:rsidR="005A01D3">
        <w:t>, el servicio de aficionados</w:t>
      </w:r>
      <w:bookmarkStart w:id="10" w:name="_GoBack"/>
      <w:bookmarkEnd w:id="10"/>
      <w:r w:rsidRPr="001969CB">
        <w:t xml:space="preserve"> y la docencia, así como para aplicaciones comerciales, por lo que pueden funcionar en distintos servicios de radiocomunicaciones.</w:t>
      </w:r>
    </w:p>
    <w:p w:rsidR="00D60A6B" w:rsidRPr="001969CB" w:rsidRDefault="00866849" w:rsidP="00866849">
      <w:pPr>
        <w:pStyle w:val="Headingb"/>
      </w:pPr>
      <w:r w:rsidRPr="001969CB">
        <w:t>Examen y propuesta</w:t>
      </w:r>
    </w:p>
    <w:p w:rsidR="00866849" w:rsidRPr="001969CB" w:rsidRDefault="00866849" w:rsidP="00866849">
      <w:r w:rsidRPr="001969CB">
        <w:t xml:space="preserve">En virtud del punto 9.1.8 del orden del día de la CMR-15, se analizaron y evaluaron las prácticas vigentes para la notificación de nanosatélites y picosatélites. Como resultado, se han elaborado dos nuevos proyectos de informe. Los estudios y los resultados pertinentes pueden constituir una buena </w:t>
      </w:r>
      <w:r w:rsidRPr="001969CB">
        <w:lastRenderedPageBreak/>
        <w:t>base teórica y práctica para la próxima etapa de trabajo. Habida cuenta de que dichos estudios no han dado lugar a la modificación de los procedimientos reglamentarios para la notificación de redes de satélites relacionados con las misiones de nanosatélites y picosatélites, pero que los operadores de sistemas de nanosatélites y picosatélites siguen solicitando dicha modificación, la Administración de China propone incluir en el orden del día de la CMR-19 un punto sobre los aspectos normativos de los nanosatélites y los picosatélites. Los estudios conexos pueden integrar un nuevo punto del orden del día de la CMR-19 o figurar entre los puntos permanentes.</w:t>
      </w:r>
    </w:p>
    <w:p w:rsidR="00D60A6B" w:rsidRPr="001969CB" w:rsidRDefault="00D60A6B" w:rsidP="0032202E">
      <w:pPr>
        <w:pStyle w:val="Reasons"/>
      </w:pPr>
    </w:p>
    <w:p w:rsidR="00D87A44" w:rsidRPr="001969CB" w:rsidRDefault="00D60A6B" w:rsidP="00D60A6B">
      <w:pPr>
        <w:jc w:val="center"/>
      </w:pPr>
      <w:r w:rsidRPr="001969CB">
        <w:t>______________</w:t>
      </w:r>
    </w:p>
    <w:sectPr w:rsidR="00D87A44" w:rsidRPr="001969C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C7AC2" w:rsidRDefault="0077084A">
    <w:pPr>
      <w:ind w:right="360"/>
    </w:pPr>
    <w:r>
      <w:fldChar w:fldCharType="begin"/>
    </w:r>
    <w:r w:rsidRPr="006C7AC2">
      <w:instrText xml:space="preserve"> FILENAME \p  \* MERGEFORMAT </w:instrText>
    </w:r>
    <w:r>
      <w:fldChar w:fldCharType="separate"/>
    </w:r>
    <w:r w:rsidR="006C7AC2" w:rsidRPr="006C7AC2">
      <w:rPr>
        <w:noProof/>
      </w:rPr>
      <w:t>P:\ESP\ITU-R\CONF-R\CMR15\000\062ADD23ADD01ADD08S.docx</w:t>
    </w:r>
    <w:r>
      <w:fldChar w:fldCharType="end"/>
    </w:r>
    <w:r w:rsidRPr="006C7AC2">
      <w:tab/>
    </w:r>
    <w:r>
      <w:fldChar w:fldCharType="begin"/>
    </w:r>
    <w:r>
      <w:instrText xml:space="preserve"> SAVEDATE \@ DD.MM.YY </w:instrText>
    </w:r>
    <w:r>
      <w:fldChar w:fldCharType="separate"/>
    </w:r>
    <w:r w:rsidR="005A01D3">
      <w:rPr>
        <w:noProof/>
      </w:rPr>
      <w:t>29.10.15</w:t>
    </w:r>
    <w:r>
      <w:fldChar w:fldCharType="end"/>
    </w:r>
    <w:r w:rsidRPr="006C7AC2">
      <w:tab/>
    </w:r>
    <w:r>
      <w:fldChar w:fldCharType="begin"/>
    </w:r>
    <w:r>
      <w:instrText xml:space="preserve"> PRINTDATE \@ DD.MM.YY </w:instrText>
    </w:r>
    <w:r>
      <w:fldChar w:fldCharType="separate"/>
    </w:r>
    <w:r w:rsidR="006C7AC2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CB" w:rsidRDefault="001969CB" w:rsidP="001969CB">
    <w:pPr>
      <w:pStyle w:val="Footer"/>
    </w:pPr>
    <w:fldSimple w:instr=" FILENAME \p  \* MERGEFORMAT ">
      <w:r w:rsidR="006C7AC2">
        <w:t>P:\ESP\ITU-R\CONF-R\CMR15\000\062ADD23ADD01ADD08S.docx</w:t>
      </w:r>
    </w:fldSimple>
    <w:r>
      <w:t xml:space="preserve"> (388531)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A01D3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C7AC2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CB" w:rsidRDefault="005A01D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C7AC2">
      <w:t>P:\ESP\ITU-R\CONF-R\CMR15\000\062ADD23ADD01ADD08S.docx</w:t>
    </w:r>
    <w:r>
      <w:fldChar w:fldCharType="end"/>
    </w:r>
    <w:r w:rsidR="001969CB">
      <w:t xml:space="preserve"> (388531)</w:t>
    </w:r>
    <w:r w:rsidR="001969CB">
      <w:tab/>
    </w:r>
    <w:r w:rsidR="001969CB">
      <w:fldChar w:fldCharType="begin"/>
    </w:r>
    <w:r w:rsidR="001969CB">
      <w:instrText xml:space="preserve"> SAVEDATE \@ DD.MM.YY </w:instrText>
    </w:r>
    <w:r w:rsidR="001969CB">
      <w:fldChar w:fldCharType="separate"/>
    </w:r>
    <w:r>
      <w:t>29.10.15</w:t>
    </w:r>
    <w:r w:rsidR="001969CB">
      <w:fldChar w:fldCharType="end"/>
    </w:r>
    <w:r w:rsidR="001969CB">
      <w:tab/>
    </w:r>
    <w:r w:rsidR="001969CB">
      <w:fldChar w:fldCharType="begin"/>
    </w:r>
    <w:r w:rsidR="001969CB">
      <w:instrText xml:space="preserve"> PRINTDATE \@ DD.MM.YY </w:instrText>
    </w:r>
    <w:r w:rsidR="001969CB">
      <w:fldChar w:fldCharType="separate"/>
    </w:r>
    <w:r w:rsidR="006C7AC2">
      <w:t>28.10.15</w:t>
    </w:r>
    <w:r w:rsidR="001969C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01D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62(Add.23)(Add.1)(Add.8)-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4D38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69CB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B4EBF"/>
    <w:rsid w:val="003C2508"/>
    <w:rsid w:val="003D0AA3"/>
    <w:rsid w:val="00440B3A"/>
    <w:rsid w:val="0045384C"/>
    <w:rsid w:val="00454553"/>
    <w:rsid w:val="004B124A"/>
    <w:rsid w:val="005007BA"/>
    <w:rsid w:val="005133B5"/>
    <w:rsid w:val="00532097"/>
    <w:rsid w:val="0058350F"/>
    <w:rsid w:val="00583C7E"/>
    <w:rsid w:val="005A01D3"/>
    <w:rsid w:val="005D46FB"/>
    <w:rsid w:val="005F2605"/>
    <w:rsid w:val="005F3B0E"/>
    <w:rsid w:val="005F559C"/>
    <w:rsid w:val="00662BA0"/>
    <w:rsid w:val="00692AAE"/>
    <w:rsid w:val="006C7AC2"/>
    <w:rsid w:val="006D6E67"/>
    <w:rsid w:val="006E1A13"/>
    <w:rsid w:val="00701C20"/>
    <w:rsid w:val="00702F3D"/>
    <w:rsid w:val="0070518E"/>
    <w:rsid w:val="007354E9"/>
    <w:rsid w:val="00764914"/>
    <w:rsid w:val="00765578"/>
    <w:rsid w:val="0077084A"/>
    <w:rsid w:val="007952C7"/>
    <w:rsid w:val="007C0B95"/>
    <w:rsid w:val="007C2317"/>
    <w:rsid w:val="007D330A"/>
    <w:rsid w:val="00866849"/>
    <w:rsid w:val="00866AE6"/>
    <w:rsid w:val="008750A8"/>
    <w:rsid w:val="008E5AF2"/>
    <w:rsid w:val="008F5DDA"/>
    <w:rsid w:val="0090121B"/>
    <w:rsid w:val="009144C9"/>
    <w:rsid w:val="0094091F"/>
    <w:rsid w:val="00973754"/>
    <w:rsid w:val="009C0BED"/>
    <w:rsid w:val="009E11EC"/>
    <w:rsid w:val="00A118DB"/>
    <w:rsid w:val="00A2273B"/>
    <w:rsid w:val="00A4450C"/>
    <w:rsid w:val="00AA5E6C"/>
    <w:rsid w:val="00AE5677"/>
    <w:rsid w:val="00AE658F"/>
    <w:rsid w:val="00AF2F78"/>
    <w:rsid w:val="00B239FA"/>
    <w:rsid w:val="00B52D55"/>
    <w:rsid w:val="00B8288C"/>
    <w:rsid w:val="00B960AB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60A6B"/>
    <w:rsid w:val="00D72A5D"/>
    <w:rsid w:val="00D87A44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69ADB06-22B8-4C06-89B1-784A8D1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D60A6B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R15-WRC15-C-0062!A23-A1-A8!MSW-S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3A94D-7A11-423D-9852-62E835D7AC3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terms/"/>
    <ds:schemaRef ds:uri="32a1a8c5-2265-4ebc-b7a0-2071e2c5c9b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665776-82CB-44B6-957E-98DF9287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R15-WRC15-C-0062!A23-A1-A8!MSW-S</vt:lpstr>
    </vt:vector>
  </TitlesOfParts>
  <Manager>Secretaría General - Pool</Manager>
  <Company>Unión Internacional de Telecomunicaciones (UIT)</Company>
  <LinksUpToDate>false</LinksUpToDate>
  <CharactersWithSpaces>2949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R15-WRC15-C-0062!A23-A1-A8!MSW-S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2015-10-28T22:59:00Z</cp:lastPrinted>
  <dcterms:created xsi:type="dcterms:W3CDTF">2015-10-28T22:57:00Z</dcterms:created>
  <dcterms:modified xsi:type="dcterms:W3CDTF">2015-10-29T15:20:00Z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