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bookmarkStart w:id="0" w:name="_GoBack"/>
            <w:bookmarkEnd w:id="0"/>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1" w:name="ditulogo"/>
            <w:bookmarkEnd w:id="1"/>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3A5A13" w:rsidRDefault="003E1608" w:rsidP="00311765">
            <w:pPr>
              <w:pStyle w:val="Adress"/>
              <w:framePr w:hSpace="0" w:wrap="auto" w:xAlign="left" w:yAlign="inline"/>
              <w:rPr>
                <w:rtl/>
              </w:rPr>
            </w:pPr>
            <w:r w:rsidRPr="003A5A13">
              <w:rPr>
                <w:rtl/>
              </w:rPr>
              <w:t xml:space="preserve">الإضافة </w:t>
            </w:r>
            <w:r w:rsidRPr="003A5A13">
              <w:t>25</w:t>
            </w:r>
            <w:r w:rsidRPr="003A5A13">
              <w:br/>
            </w:r>
            <w:r w:rsidRPr="003A5A13">
              <w:rPr>
                <w:rtl/>
              </w:rPr>
              <w:t xml:space="preserve">للوثيقة </w:t>
            </w:r>
            <w:r w:rsidRPr="003A5A13">
              <w:t>62-</w:t>
            </w:r>
            <w:r w:rsidR="00311765" w:rsidRPr="003A5A13">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3A5A13" w:rsidRDefault="00764079" w:rsidP="00D44350">
            <w:pPr>
              <w:pStyle w:val="Adress"/>
              <w:framePr w:hSpace="0" w:wrap="auto" w:xAlign="left" w:yAlign="inline"/>
              <w:rPr>
                <w:rtl/>
              </w:rPr>
            </w:pPr>
            <w:r w:rsidRPr="003A5A13">
              <w:rPr>
                <w:rFonts w:eastAsia="SimSun"/>
              </w:rPr>
              <w:t>16</w:t>
            </w:r>
            <w:r w:rsidRPr="003A5A13">
              <w:rPr>
                <w:rFonts w:eastAsia="SimSun"/>
                <w:rtl/>
              </w:rPr>
              <w:t xml:space="preserve"> أكتوبر </w:t>
            </w:r>
            <w:r w:rsidRPr="003A5A13">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3A5A13" w:rsidRDefault="00764079" w:rsidP="00D44350">
            <w:pPr>
              <w:pStyle w:val="Adress"/>
              <w:framePr w:hSpace="0" w:wrap="auto" w:xAlign="left" w:yAlign="inline"/>
              <w:rPr>
                <w:rFonts w:eastAsia="SimSun" w:hint="eastAsia"/>
              </w:rPr>
            </w:pPr>
            <w:r w:rsidRPr="003A5A13">
              <w:rPr>
                <w:rFonts w:eastAsia="SimSun"/>
                <w:rtl/>
              </w:rPr>
              <w:t>الأصل: بالصينية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الصين الشعبية</w:t>
            </w:r>
          </w:p>
        </w:tc>
      </w:tr>
      <w:tr w:rsidR="00764079" w:rsidTr="003E1608">
        <w:trPr>
          <w:cantSplit/>
        </w:trPr>
        <w:tc>
          <w:tcPr>
            <w:tcW w:w="9672" w:type="dxa"/>
            <w:gridSpan w:val="2"/>
          </w:tcPr>
          <w:p w:rsidR="00764079" w:rsidRPr="00BD6EF3" w:rsidRDefault="00311765" w:rsidP="00D44350">
            <w:pPr>
              <w:pStyle w:val="Title1"/>
              <w:spacing w:before="240"/>
              <w:rPr>
                <w:rtl/>
              </w:rPr>
            </w:pPr>
            <w:r>
              <w:rPr>
                <w:rtl/>
              </w:rPr>
              <w:t xml:space="preserve">مقترحات بشأن أعمال </w:t>
            </w:r>
            <w:proofErr w:type="spellStart"/>
            <w:r>
              <w:rPr>
                <w:rtl/>
              </w:rPr>
              <w:t>ال‍مؤت‍مر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311765">
            <w:pPr>
              <w:pStyle w:val="Agendaitem"/>
              <w:spacing w:before="240" w:line="192" w:lineRule="auto"/>
            </w:pPr>
            <w:r w:rsidRPr="008204AC">
              <w:rPr>
                <w:rtl/>
              </w:rPr>
              <w:t xml:space="preserve">البنـد </w:t>
            </w:r>
            <w:r w:rsidR="00311765">
              <w:rPr>
                <w:lang w:val="en-US"/>
              </w:rPr>
              <w:t>GFT(PP-14)</w:t>
            </w:r>
            <w:r w:rsidR="00311765">
              <w:rPr>
                <w:rFonts w:hint="cs"/>
                <w:rtl/>
              </w:rPr>
              <w:t xml:space="preserve"> </w:t>
            </w:r>
            <w:r w:rsidRPr="008204AC">
              <w:rPr>
                <w:rtl/>
              </w:rPr>
              <w:t>من جدول الأعمال</w:t>
            </w:r>
          </w:p>
        </w:tc>
      </w:tr>
    </w:tbl>
    <w:p w:rsidR="00207E84" w:rsidRPr="00431196" w:rsidRDefault="005F0C0E" w:rsidP="00311765">
      <w:pPr>
        <w:pStyle w:val="Normalaftertitle"/>
        <w:rPr>
          <w:rFonts w:eastAsia="SimSun"/>
          <w:rtl/>
          <w:lang w:bidi="ar-SY"/>
        </w:rPr>
      </w:pPr>
      <w:bookmarkStart w:id="2" w:name="_Toc408328118"/>
      <w:r w:rsidRPr="00431196">
        <w:rPr>
          <w:rFonts w:eastAsia="SimSun" w:hint="cs"/>
          <w:rtl/>
        </w:rPr>
        <w:t>ال</w:t>
      </w:r>
      <w:r w:rsidRPr="00431196">
        <w:rPr>
          <w:rFonts w:eastAsia="SimSun"/>
          <w:rtl/>
        </w:rPr>
        <w:t>قـرار</w:t>
      </w:r>
      <w:r w:rsidRPr="00431196">
        <w:rPr>
          <w:rFonts w:eastAsia="SimSun" w:hint="cs"/>
          <w:rtl/>
        </w:rPr>
        <w:t xml:space="preserve"> </w:t>
      </w:r>
      <w:r w:rsidRPr="00431196">
        <w:rPr>
          <w:rStyle w:val="href"/>
          <w:rFonts w:eastAsia="SimSun"/>
        </w:rPr>
        <w:t>185</w:t>
      </w:r>
      <w:r w:rsidRPr="00431196">
        <w:rPr>
          <w:rFonts w:eastAsia="SimSun" w:hint="cs"/>
          <w:rtl/>
        </w:rPr>
        <w:t xml:space="preserve"> (بوسان، </w:t>
      </w:r>
      <w:r w:rsidRPr="00431196">
        <w:rPr>
          <w:rFonts w:eastAsia="SimSun"/>
        </w:rPr>
        <w:t>2014</w:t>
      </w:r>
      <w:r w:rsidRPr="00431196">
        <w:rPr>
          <w:rFonts w:eastAsia="SimSun" w:hint="cs"/>
          <w:rtl/>
        </w:rPr>
        <w:t>)</w:t>
      </w:r>
      <w:bookmarkStart w:id="3" w:name="_Toc408328119"/>
      <w:bookmarkEnd w:id="2"/>
      <w:r w:rsidRPr="00431196">
        <w:rPr>
          <w:rFonts w:eastAsia="SimSun" w:hint="eastAsia"/>
        </w:rPr>
        <w:t>         </w:t>
      </w:r>
      <w:r w:rsidRPr="00431196">
        <w:rPr>
          <w:rFonts w:eastAsia="SimSun" w:hint="cs"/>
          <w:rtl/>
        </w:rPr>
        <w:t>التتبع العالمي للرحلات الجوية في الطيران المدني</w:t>
      </w:r>
      <w:bookmarkEnd w:id="3"/>
      <w:r w:rsidRPr="00431196">
        <w:rPr>
          <w:rFonts w:eastAsia="SimSun"/>
        </w:rPr>
        <w:t xml:space="preserve"> - </w:t>
      </w:r>
      <w:r w:rsidRPr="00431196">
        <w:rPr>
          <w:rFonts w:eastAsia="SimSun" w:hint="cs"/>
          <w:rtl/>
        </w:rPr>
        <w:t xml:space="preserve">إن مؤتمر المندوبين المفوضين </w:t>
      </w:r>
      <w:proofErr w:type="spellStart"/>
      <w:r w:rsidRPr="00431196">
        <w:rPr>
          <w:rFonts w:eastAsia="SimSun" w:hint="cs"/>
          <w:rtl/>
        </w:rPr>
        <w:t>للات‍حاد</w:t>
      </w:r>
      <w:proofErr w:type="spellEnd"/>
      <w:r w:rsidRPr="00431196">
        <w:rPr>
          <w:rFonts w:eastAsia="SimSun" w:hint="cs"/>
          <w:rtl/>
        </w:rPr>
        <w:t xml:space="preserve"> الدولي للاتصالات (بوسان، </w:t>
      </w:r>
      <w:r w:rsidRPr="00431196">
        <w:rPr>
          <w:rFonts w:eastAsia="SimSun"/>
        </w:rPr>
        <w:t>2014</w:t>
      </w:r>
      <w:r w:rsidRPr="00431196">
        <w:rPr>
          <w:rFonts w:eastAsia="SimSun" w:hint="cs"/>
          <w:rtl/>
        </w:rPr>
        <w:t>)،</w:t>
      </w:r>
      <w:r w:rsidRPr="00431196">
        <w:rPr>
          <w:rFonts w:eastAsia="SimSun"/>
        </w:rPr>
        <w:t xml:space="preserve"> </w:t>
      </w:r>
      <w:r w:rsidRPr="00431196">
        <w:rPr>
          <w:rFonts w:eastAsia="SimSun" w:hint="cs"/>
          <w:rtl/>
          <w:lang w:bidi="ar-SY"/>
        </w:rPr>
        <w:t>يقرر</w:t>
      </w:r>
      <w:r w:rsidRPr="00431196">
        <w:rPr>
          <w:rFonts w:eastAsia="SimSun"/>
          <w:lang w:bidi="ar-SY"/>
        </w:rPr>
        <w:t xml:space="preserve"> </w:t>
      </w:r>
      <w:r w:rsidRPr="00431196">
        <w:rPr>
          <w:rFonts w:eastAsia="SimSun" w:hint="cs"/>
          <w:rtl/>
          <w:lang w:bidi="ar-SY"/>
        </w:rPr>
        <w:t xml:space="preserve">تكليف المؤتمر العالمي للاتصالات الراديوية لعام </w:t>
      </w:r>
      <w:r w:rsidRPr="00431196">
        <w:rPr>
          <w:rFonts w:eastAsia="SimSun"/>
          <w:lang w:bidi="ar-SY"/>
        </w:rPr>
        <w:t>2015</w:t>
      </w:r>
      <w:r w:rsidRPr="00431196">
        <w:rPr>
          <w:rFonts w:eastAsia="SimSun" w:hint="cs"/>
          <w:rtl/>
        </w:rPr>
        <w:t xml:space="preserve">، عملاً بالمادة </w:t>
      </w:r>
      <w:r w:rsidRPr="00431196">
        <w:rPr>
          <w:rFonts w:eastAsia="SimSun"/>
        </w:rPr>
        <w:t>119</w:t>
      </w:r>
      <w:r w:rsidRPr="00431196">
        <w:rPr>
          <w:rFonts w:eastAsia="SimSun" w:hint="cs"/>
          <w:rtl/>
        </w:rPr>
        <w:t xml:space="preserve"> من اتفاقية </w:t>
      </w:r>
      <w:proofErr w:type="spellStart"/>
      <w:r w:rsidRPr="00431196">
        <w:rPr>
          <w:rFonts w:eastAsia="SimSun" w:hint="cs"/>
          <w:rtl/>
        </w:rPr>
        <w:t>الات‍حاد</w:t>
      </w:r>
      <w:proofErr w:type="spellEnd"/>
      <w:r w:rsidRPr="00431196">
        <w:rPr>
          <w:rFonts w:eastAsia="SimSun" w:hint="cs"/>
          <w:rtl/>
        </w:rPr>
        <w:t xml:space="preserve"> </w:t>
      </w:r>
      <w:r w:rsidRPr="00431196">
        <w:rPr>
          <w:rFonts w:eastAsia="SimSun" w:hint="cs"/>
          <w:rtl/>
          <w:lang w:bidi="ar-SY"/>
        </w:rPr>
        <w:t>بأن يدرج في جدول أعماله، على وجه السرعة، النظر في مسألة التتبع العالمي للرحلات الجوية، بما</w:t>
      </w:r>
      <w:r w:rsidRPr="00431196">
        <w:rPr>
          <w:rFonts w:eastAsia="SimSun" w:hint="eastAsia"/>
          <w:spacing w:val="-2"/>
          <w:rtl/>
        </w:rPr>
        <w:t xml:space="preserve"> في </w:t>
      </w:r>
      <w:r w:rsidRPr="00431196">
        <w:rPr>
          <w:rFonts w:eastAsia="SimSun" w:hint="cs"/>
          <w:rtl/>
          <w:lang w:bidi="ar-SY"/>
        </w:rPr>
        <w:t xml:space="preserve">ذلك، عند الاقتضاء، وانسجاماً مع ممارسات </w:t>
      </w:r>
      <w:proofErr w:type="spellStart"/>
      <w:r w:rsidRPr="00431196">
        <w:rPr>
          <w:rFonts w:eastAsia="SimSun" w:hint="cs"/>
          <w:rtl/>
          <w:lang w:bidi="ar-SY"/>
        </w:rPr>
        <w:t>الات‍حاد</w:t>
      </w:r>
      <w:proofErr w:type="spellEnd"/>
      <w:r w:rsidRPr="00431196">
        <w:rPr>
          <w:rFonts w:eastAsia="SimSun" w:hint="cs"/>
          <w:rtl/>
          <w:lang w:bidi="ar-SY"/>
        </w:rPr>
        <w:t xml:space="preserve">، النظر في مختلف جوانب المسألة، </w:t>
      </w:r>
      <w:r w:rsidRPr="00431196">
        <w:rPr>
          <w:rFonts w:eastAsia="SimSun"/>
          <w:color w:val="000000"/>
          <w:rtl/>
        </w:rPr>
        <w:t>مع مراعاة دراسات قطاع الاتصالات</w:t>
      </w:r>
      <w:r w:rsidRPr="00431196">
        <w:rPr>
          <w:rFonts w:eastAsia="SimSun" w:hint="eastAsia"/>
          <w:spacing w:val="-2"/>
          <w:rtl/>
        </w:rPr>
        <w:t> </w:t>
      </w:r>
      <w:r w:rsidRPr="00431196">
        <w:rPr>
          <w:rFonts w:eastAsia="SimSun"/>
          <w:color w:val="000000"/>
          <w:rtl/>
        </w:rPr>
        <w:t>الراديوية</w:t>
      </w:r>
      <w:r w:rsidRPr="00431196">
        <w:rPr>
          <w:rFonts w:eastAsia="SimSun" w:hint="cs"/>
          <w:color w:val="000000"/>
          <w:rtl/>
        </w:rPr>
        <w:t>،</w:t>
      </w:r>
    </w:p>
    <w:p w:rsidR="00F16602" w:rsidRDefault="00311765" w:rsidP="00311765">
      <w:pPr>
        <w:pStyle w:val="Headingb"/>
        <w:rPr>
          <w:rFonts w:hint="cs"/>
          <w:rtl/>
        </w:rPr>
      </w:pPr>
      <w:r>
        <w:rPr>
          <w:rFonts w:hint="cs"/>
          <w:rtl/>
        </w:rPr>
        <w:t>مقدمة</w:t>
      </w:r>
    </w:p>
    <w:p w:rsidR="00D20720" w:rsidRPr="003A5A13" w:rsidRDefault="0096200C" w:rsidP="003A5A13">
      <w:pPr>
        <w:rPr>
          <w:spacing w:val="-2"/>
          <w:rtl/>
        </w:rPr>
      </w:pPr>
      <w:r w:rsidRPr="003A5A13">
        <w:rPr>
          <w:rFonts w:hint="cs"/>
          <w:spacing w:val="-2"/>
          <w:rtl/>
        </w:rPr>
        <w:t xml:space="preserve">في نوفمبر </w:t>
      </w:r>
      <w:r w:rsidRPr="003A5A13">
        <w:rPr>
          <w:spacing w:val="-2"/>
        </w:rPr>
        <w:t>2014</w:t>
      </w:r>
      <w:r w:rsidRPr="003A5A13">
        <w:rPr>
          <w:rFonts w:hint="cs"/>
          <w:spacing w:val="-2"/>
          <w:rtl/>
        </w:rPr>
        <w:t xml:space="preserve"> اعتمد مؤتمر المندوبين المفوضين قراراً يكلف المؤتمر العالمي للاتصالات الراديوية لعام </w:t>
      </w:r>
      <w:r w:rsidRPr="003A5A13">
        <w:rPr>
          <w:spacing w:val="-2"/>
        </w:rPr>
        <w:t>2015</w:t>
      </w:r>
      <w:r w:rsidRPr="003A5A13">
        <w:rPr>
          <w:rFonts w:hint="cs"/>
          <w:spacing w:val="-2"/>
          <w:rtl/>
        </w:rPr>
        <w:t xml:space="preserve"> </w:t>
      </w:r>
      <w:r w:rsidR="003A5A13">
        <w:rPr>
          <w:spacing w:val="-2"/>
        </w:rPr>
        <w:t>(</w:t>
      </w:r>
      <w:r w:rsidRPr="003A5A13">
        <w:rPr>
          <w:spacing w:val="-2"/>
        </w:rPr>
        <w:t>WRC-15</w:t>
      </w:r>
      <w:r w:rsidR="003A5A13">
        <w:rPr>
          <w:spacing w:val="-2"/>
        </w:rPr>
        <w:t>)</w:t>
      </w:r>
      <w:r w:rsidRPr="003A5A13">
        <w:rPr>
          <w:rFonts w:hint="cs"/>
          <w:spacing w:val="-2"/>
          <w:rtl/>
        </w:rPr>
        <w:t xml:space="preserve"> بإدراج التتبع العالمي للرحلات الجوية (</w:t>
      </w:r>
      <w:r w:rsidRPr="003A5A13">
        <w:rPr>
          <w:spacing w:val="-2"/>
        </w:rPr>
        <w:t>GFT</w:t>
      </w:r>
      <w:r w:rsidRPr="003A5A13">
        <w:rPr>
          <w:rFonts w:hint="cs"/>
          <w:spacing w:val="-2"/>
          <w:rtl/>
        </w:rPr>
        <w:t xml:space="preserve">) في جدول أعماله. </w:t>
      </w:r>
      <w:r w:rsidR="00214870" w:rsidRPr="003A5A13">
        <w:rPr>
          <w:rFonts w:hint="cs"/>
          <w:spacing w:val="-2"/>
          <w:rtl/>
        </w:rPr>
        <w:t>وتمثلت</w:t>
      </w:r>
      <w:r w:rsidRPr="003A5A13">
        <w:rPr>
          <w:rFonts w:hint="cs"/>
          <w:spacing w:val="-2"/>
          <w:rtl/>
        </w:rPr>
        <w:t xml:space="preserve"> فرق العمل المسؤولة </w:t>
      </w:r>
      <w:r w:rsidR="00214870" w:rsidRPr="003A5A13">
        <w:rPr>
          <w:rFonts w:hint="cs"/>
          <w:spacing w:val="-2"/>
          <w:rtl/>
        </w:rPr>
        <w:t xml:space="preserve">في كل من فرقة العمل </w:t>
      </w:r>
      <w:r w:rsidR="00214870" w:rsidRPr="003A5A13">
        <w:rPr>
          <w:spacing w:val="-2"/>
        </w:rPr>
        <w:t>5</w:t>
      </w:r>
      <w:r w:rsidR="00214870" w:rsidRPr="003A5A13">
        <w:rPr>
          <w:rFonts w:hint="cs"/>
          <w:spacing w:val="-2"/>
          <w:rtl/>
        </w:rPr>
        <w:t xml:space="preserve"> </w:t>
      </w:r>
      <w:r w:rsidR="00214870" w:rsidRPr="003A5A13">
        <w:rPr>
          <w:spacing w:val="-2"/>
        </w:rPr>
        <w:t>B</w:t>
      </w:r>
      <w:r w:rsidR="00214870" w:rsidRPr="003A5A13">
        <w:rPr>
          <w:rFonts w:hint="cs"/>
          <w:spacing w:val="-2"/>
          <w:rtl/>
        </w:rPr>
        <w:t xml:space="preserve"> وفرقة العمل</w:t>
      </w:r>
      <w:r w:rsidR="003A5A13" w:rsidRPr="003A5A13">
        <w:rPr>
          <w:rFonts w:hint="eastAsia"/>
          <w:spacing w:val="-2"/>
          <w:rtl/>
          <w:lang w:bidi="ar-EG"/>
        </w:rPr>
        <w:t> </w:t>
      </w:r>
      <w:r w:rsidR="00214870" w:rsidRPr="003A5A13">
        <w:rPr>
          <w:spacing w:val="-2"/>
        </w:rPr>
        <w:t>4</w:t>
      </w:r>
      <w:r w:rsidR="003A5A13" w:rsidRPr="003A5A13">
        <w:rPr>
          <w:spacing w:val="-2"/>
        </w:rPr>
        <w:t> </w:t>
      </w:r>
      <w:r w:rsidR="00214870" w:rsidRPr="003A5A13">
        <w:rPr>
          <w:spacing w:val="-2"/>
        </w:rPr>
        <w:t>C</w:t>
      </w:r>
      <w:r w:rsidR="00214870" w:rsidRPr="003A5A13">
        <w:rPr>
          <w:rFonts w:hint="cs"/>
          <w:spacing w:val="-2"/>
          <w:rtl/>
        </w:rPr>
        <w:t>.</w:t>
      </w:r>
    </w:p>
    <w:p w:rsidR="00214870" w:rsidRDefault="003A5A13" w:rsidP="003A5A13">
      <w:pPr>
        <w:pStyle w:val="enumlev1"/>
      </w:pPr>
      <w:r>
        <w:rPr>
          <w:rFonts w:hint="cs"/>
        </w:rPr>
        <w:sym w:font="Symbol" w:char="F0B7"/>
      </w:r>
      <w:r>
        <w:rPr>
          <w:rtl/>
        </w:rPr>
        <w:tab/>
      </w:r>
      <w:r w:rsidR="00214870">
        <w:rPr>
          <w:rFonts w:hint="cs"/>
          <w:rtl/>
        </w:rPr>
        <w:t xml:space="preserve">دراسات فرقة العمل </w:t>
      </w:r>
      <w:r w:rsidR="00214870">
        <w:t>5</w:t>
      </w:r>
      <w:r w:rsidR="00214870">
        <w:rPr>
          <w:rFonts w:hint="cs"/>
          <w:rtl/>
        </w:rPr>
        <w:t xml:space="preserve"> </w:t>
      </w:r>
      <w:r w:rsidR="00214870">
        <w:t>B</w:t>
      </w:r>
    </w:p>
    <w:p w:rsidR="00214870" w:rsidRDefault="00214870" w:rsidP="003A5A13">
      <w:pPr>
        <w:rPr>
          <w:rtl/>
          <w:lang w:bidi="ar-EG"/>
        </w:rPr>
      </w:pPr>
      <w:r>
        <w:rPr>
          <w:rFonts w:hint="cs"/>
          <w:rtl/>
        </w:rPr>
        <w:t xml:space="preserve">في ضوء القرار </w:t>
      </w:r>
      <w:r>
        <w:t>1865</w:t>
      </w:r>
      <w:r>
        <w:rPr>
          <w:rFonts w:hint="cs"/>
          <w:rtl/>
        </w:rPr>
        <w:t xml:space="preserve">، اقترحت بعض الإدارات مناقشة مسألة ترحيل </w:t>
      </w:r>
      <w:r w:rsidR="00A9134F">
        <w:rPr>
          <w:rFonts w:hint="cs"/>
          <w:rtl/>
        </w:rPr>
        <w:t xml:space="preserve">إشارات المراقبة </w:t>
      </w:r>
      <w:proofErr w:type="spellStart"/>
      <w:r w:rsidR="00A9134F">
        <w:rPr>
          <w:rFonts w:hint="cs"/>
          <w:rtl/>
        </w:rPr>
        <w:t>الأوتوماتية</w:t>
      </w:r>
      <w:proofErr w:type="spellEnd"/>
      <w:r w:rsidR="00A9134F">
        <w:rPr>
          <w:rFonts w:hint="cs"/>
          <w:rtl/>
        </w:rPr>
        <w:t xml:space="preserve"> التابعة بأسلوب الإذاعة </w:t>
      </w:r>
      <w:r w:rsidR="003A5A13">
        <w:t>(</w:t>
      </w:r>
      <w:r>
        <w:t>ADS</w:t>
      </w:r>
      <w:r w:rsidR="003A5A13">
        <w:noBreakHyphen/>
      </w:r>
      <w:r>
        <w:t>B</w:t>
      </w:r>
      <w:r w:rsidR="003A5A13">
        <w:t>)</w:t>
      </w:r>
      <w:r>
        <w:rPr>
          <w:rFonts w:hint="cs"/>
          <w:rtl/>
        </w:rPr>
        <w:t xml:space="preserve"> عبر </w:t>
      </w:r>
      <w:proofErr w:type="spellStart"/>
      <w:r>
        <w:rPr>
          <w:rFonts w:hint="cs"/>
          <w:rtl/>
        </w:rPr>
        <w:t>السواتل</w:t>
      </w:r>
      <w:proofErr w:type="spellEnd"/>
      <w:r>
        <w:rPr>
          <w:rFonts w:hint="cs"/>
          <w:rtl/>
        </w:rPr>
        <w:t xml:space="preserve"> في </w:t>
      </w:r>
      <w:r w:rsidR="00BA4C37">
        <w:rPr>
          <w:rFonts w:hint="cs"/>
          <w:rtl/>
        </w:rPr>
        <w:t xml:space="preserve">إطار </w:t>
      </w:r>
      <w:r>
        <w:rPr>
          <w:rFonts w:hint="cs"/>
          <w:rtl/>
        </w:rPr>
        <w:t xml:space="preserve">لجان الدراسات الراديوية وفي المؤتمر </w:t>
      </w:r>
      <w:r w:rsidR="00BA4C37">
        <w:rPr>
          <w:rFonts w:hint="cs"/>
          <w:rtl/>
        </w:rPr>
        <w:t xml:space="preserve">العالمي للاتصالات الراديوية لعام </w:t>
      </w:r>
      <w:r w:rsidR="00BA4C37">
        <w:t>2015</w:t>
      </w:r>
      <w:r w:rsidR="00BA4C37">
        <w:rPr>
          <w:rFonts w:hint="cs"/>
          <w:rtl/>
        </w:rPr>
        <w:t xml:space="preserve"> </w:t>
      </w:r>
      <w:r>
        <w:rPr>
          <w:rFonts w:hint="cs"/>
          <w:rtl/>
        </w:rPr>
        <w:t>(</w:t>
      </w:r>
      <w:r>
        <w:t>WRC-15</w:t>
      </w:r>
      <w:r>
        <w:rPr>
          <w:rFonts w:hint="cs"/>
          <w:rtl/>
        </w:rPr>
        <w:t>)</w:t>
      </w:r>
      <w:r w:rsidR="00BA4C37">
        <w:rPr>
          <w:rFonts w:hint="cs"/>
          <w:rtl/>
        </w:rPr>
        <w:t>. وفي</w:t>
      </w:r>
      <w:r w:rsidR="003A5A13">
        <w:rPr>
          <w:rFonts w:hint="eastAsia"/>
          <w:rtl/>
        </w:rPr>
        <w:t> </w:t>
      </w:r>
      <w:r w:rsidR="00BA4C37">
        <w:rPr>
          <w:rFonts w:hint="cs"/>
          <w:rtl/>
        </w:rPr>
        <w:t xml:space="preserve">الوقت الراهن، تعد فرقة العمل </w:t>
      </w:r>
      <w:r w:rsidR="00BA4C37">
        <w:t>5</w:t>
      </w:r>
      <w:r w:rsidR="00BA4C37">
        <w:rPr>
          <w:rFonts w:hint="cs"/>
          <w:rtl/>
        </w:rPr>
        <w:t xml:space="preserve"> </w:t>
      </w:r>
      <w:r w:rsidR="00BA4C37">
        <w:t>B</w:t>
      </w:r>
      <w:r w:rsidR="00BA4C37">
        <w:rPr>
          <w:rFonts w:hint="cs"/>
          <w:rtl/>
        </w:rPr>
        <w:t xml:space="preserve"> تقريرين في هذا الصدد، في صيغة وثائق</w:t>
      </w:r>
      <w:r w:rsidR="002B3581">
        <w:rPr>
          <w:rFonts w:hint="cs"/>
          <w:rtl/>
        </w:rPr>
        <w:t xml:space="preserve"> </w:t>
      </w:r>
      <w:r w:rsidR="00BA4C37">
        <w:rPr>
          <w:rFonts w:hint="cs"/>
          <w:rtl/>
        </w:rPr>
        <w:t>عمل</w:t>
      </w:r>
      <w:r w:rsidR="002B3581">
        <w:rPr>
          <w:rFonts w:hint="cs"/>
          <w:rtl/>
        </w:rPr>
        <w:t xml:space="preserve"> </w:t>
      </w:r>
      <w:r w:rsidR="003A5A13">
        <w:t>(</w:t>
      </w:r>
      <w:r w:rsidR="002B3581">
        <w:t>WD</w:t>
      </w:r>
      <w:r w:rsidR="003A5A13">
        <w:t>)</w:t>
      </w:r>
      <w:r w:rsidR="00BA4C37">
        <w:rPr>
          <w:rFonts w:hint="cs"/>
          <w:rtl/>
        </w:rPr>
        <w:t xml:space="preserve"> من أجل مشروع أولي لتوصية جديدة </w:t>
      </w:r>
      <w:r w:rsidR="002B3581">
        <w:rPr>
          <w:rFonts w:hint="cs"/>
          <w:rtl/>
        </w:rPr>
        <w:t xml:space="preserve">للتبع </w:t>
      </w:r>
      <w:r w:rsidR="003A5A13">
        <w:t>(</w:t>
      </w:r>
      <w:r w:rsidR="002B3581" w:rsidRPr="00F87728">
        <w:t>PDNR M.[GFT]</w:t>
      </w:r>
      <w:r w:rsidR="003A5A13">
        <w:t>)</w:t>
      </w:r>
      <w:r w:rsidR="002B3581">
        <w:rPr>
          <w:rFonts w:hint="cs"/>
          <w:rtl/>
        </w:rPr>
        <w:t xml:space="preserve"> ومشروع أولي لتوصية جديدة ل</w:t>
      </w:r>
      <w:r w:rsidR="00A9134F">
        <w:rPr>
          <w:rFonts w:hint="cs"/>
          <w:rtl/>
        </w:rPr>
        <w:t>نظام ترحيل إشارات المراقبة</w:t>
      </w:r>
      <w:r w:rsidR="002B3581">
        <w:rPr>
          <w:rFonts w:hint="cs"/>
          <w:rtl/>
        </w:rPr>
        <w:t xml:space="preserve"> </w:t>
      </w:r>
      <w:r w:rsidR="003A5A13">
        <w:t>(</w:t>
      </w:r>
      <w:r w:rsidR="002B3581" w:rsidRPr="00F87728">
        <w:t>PDNR M.[ADS-B]</w:t>
      </w:r>
      <w:r w:rsidR="003A5A13">
        <w:t>)</w:t>
      </w:r>
      <w:r w:rsidR="003A5A13">
        <w:rPr>
          <w:rFonts w:hint="cs"/>
          <w:rtl/>
        </w:rPr>
        <w:t>.</w:t>
      </w:r>
    </w:p>
    <w:p w:rsidR="00D20720" w:rsidRDefault="002B3581" w:rsidP="003A5A13">
      <w:pPr>
        <w:spacing w:before="240"/>
        <w:rPr>
          <w:rtl/>
        </w:rPr>
      </w:pPr>
      <w:r>
        <w:rPr>
          <w:rFonts w:hint="cs"/>
          <w:rtl/>
        </w:rPr>
        <w:t xml:space="preserve">وتقدم وثيقة العمل </w:t>
      </w:r>
      <w:r w:rsidR="003A5A13">
        <w:t>(</w:t>
      </w:r>
      <w:r>
        <w:t>WD</w:t>
      </w:r>
      <w:r w:rsidR="003A5A13">
        <w:t>)</w:t>
      </w:r>
      <w:r>
        <w:rPr>
          <w:rFonts w:hint="cs"/>
          <w:rtl/>
        </w:rPr>
        <w:t xml:space="preserve"> الخاصة بالمشروع الأولي لتوصية جديدة للتبع </w:t>
      </w:r>
      <w:r w:rsidR="003A5A13">
        <w:t>(</w:t>
      </w:r>
      <w:r w:rsidRPr="00F87728">
        <w:t>PDNR M.[GFT]</w:t>
      </w:r>
      <w:r w:rsidR="003A5A13">
        <w:t>)</w:t>
      </w:r>
      <w:r>
        <w:rPr>
          <w:rFonts w:hint="cs"/>
          <w:rtl/>
        </w:rPr>
        <w:t xml:space="preserve"> توصيفاً عاماً لمسألة التتبع العالمي للرحلات الجوية</w:t>
      </w:r>
      <w:r w:rsidR="00DB672E">
        <w:rPr>
          <w:rFonts w:hint="cs"/>
          <w:rtl/>
        </w:rPr>
        <w:t xml:space="preserve"> </w:t>
      </w:r>
      <w:r w:rsidR="003A5A13">
        <w:t>(</w:t>
      </w:r>
      <w:r w:rsidR="00DB672E" w:rsidRPr="00F87728">
        <w:t>GFT</w:t>
      </w:r>
      <w:r w:rsidR="003A5A13">
        <w:t>)</w:t>
      </w:r>
      <w:r>
        <w:rPr>
          <w:rFonts w:hint="cs"/>
          <w:rtl/>
        </w:rPr>
        <w:t xml:space="preserve">، بما في ذلك مفهومها، ومتطلباتها، والهدف من ورائها، والأنظمة المساهمة الحالية والأنظمة </w:t>
      </w:r>
      <w:r w:rsidR="00DB672E">
        <w:rPr>
          <w:rFonts w:hint="cs"/>
          <w:rtl/>
        </w:rPr>
        <w:t>قيد</w:t>
      </w:r>
      <w:r>
        <w:rPr>
          <w:rFonts w:hint="cs"/>
          <w:rtl/>
        </w:rPr>
        <w:t xml:space="preserve"> </w:t>
      </w:r>
      <w:r w:rsidR="00DB672E">
        <w:rPr>
          <w:rFonts w:hint="cs"/>
          <w:rtl/>
        </w:rPr>
        <w:t>الإعداد</w:t>
      </w:r>
      <w:r>
        <w:rPr>
          <w:rFonts w:hint="cs"/>
          <w:rtl/>
        </w:rPr>
        <w:t xml:space="preserve">. وطبقاً للتقرير، </w:t>
      </w:r>
      <w:r w:rsidR="00DB672E">
        <w:rPr>
          <w:rFonts w:hint="cs"/>
          <w:rtl/>
        </w:rPr>
        <w:t xml:space="preserve">ينبغي مراعاة كل الأنظمة </w:t>
      </w:r>
      <w:proofErr w:type="spellStart"/>
      <w:r w:rsidR="00DB672E">
        <w:rPr>
          <w:rFonts w:hint="cs"/>
          <w:rtl/>
        </w:rPr>
        <w:t>الساتلية</w:t>
      </w:r>
      <w:proofErr w:type="spellEnd"/>
      <w:r w:rsidR="00DB672E">
        <w:rPr>
          <w:rFonts w:hint="cs"/>
          <w:rtl/>
        </w:rPr>
        <w:t xml:space="preserve"> والأرضية المحتملة في معالجة مسألة التتبع العالمي للرحلات الجوية </w:t>
      </w:r>
      <w:r w:rsidR="003A5A13">
        <w:t>(</w:t>
      </w:r>
      <w:r w:rsidR="00DB672E" w:rsidRPr="00F87728">
        <w:t>GFT</w:t>
      </w:r>
      <w:r w:rsidR="003A5A13">
        <w:t>)</w:t>
      </w:r>
      <w:r w:rsidR="00DB672E">
        <w:rPr>
          <w:rFonts w:hint="cs"/>
          <w:rtl/>
        </w:rPr>
        <w:t xml:space="preserve">، مثل أنظمة الرادار الثانوية للمراقبة </w:t>
      </w:r>
      <w:r w:rsidR="003A5A13">
        <w:t>(</w:t>
      </w:r>
      <w:r w:rsidR="00DB672E">
        <w:t>SSR</w:t>
      </w:r>
      <w:r w:rsidR="003A5A13">
        <w:t>)</w:t>
      </w:r>
      <w:r w:rsidR="00DB672E">
        <w:rPr>
          <w:rFonts w:hint="cs"/>
          <w:rtl/>
        </w:rPr>
        <w:t>، وأنظمة المراقبة</w:t>
      </w:r>
      <w:r w:rsidR="00DB672E" w:rsidRPr="00DB672E">
        <w:rPr>
          <w:rFonts w:hint="cs"/>
          <w:rtl/>
        </w:rPr>
        <w:t xml:space="preserve"> </w:t>
      </w:r>
      <w:r w:rsidR="00DB672E">
        <w:rPr>
          <w:rFonts w:hint="cs"/>
          <w:rtl/>
        </w:rPr>
        <w:t xml:space="preserve">بأسلوب الاتفاق التلقائية المعتمدة </w:t>
      </w:r>
      <w:r w:rsidR="003A5A13">
        <w:t>(</w:t>
      </w:r>
      <w:r w:rsidR="00DB672E">
        <w:t>ADS-C</w:t>
      </w:r>
      <w:r w:rsidR="003A5A13">
        <w:t>)</w:t>
      </w:r>
      <w:r w:rsidR="00DB672E">
        <w:rPr>
          <w:rFonts w:hint="cs"/>
          <w:rtl/>
        </w:rPr>
        <w:t>.</w:t>
      </w:r>
    </w:p>
    <w:p w:rsidR="00D20720" w:rsidRDefault="00DB672E" w:rsidP="00BF15AE">
      <w:pPr>
        <w:rPr>
          <w:rtl/>
        </w:rPr>
      </w:pPr>
      <w:r>
        <w:rPr>
          <w:rFonts w:hint="cs"/>
          <w:rtl/>
        </w:rPr>
        <w:lastRenderedPageBreak/>
        <w:t>وتقدم وثيقة العمل (</w:t>
      </w:r>
      <w:r>
        <w:t>WD</w:t>
      </w:r>
      <w:r>
        <w:rPr>
          <w:rFonts w:hint="cs"/>
          <w:rtl/>
        </w:rPr>
        <w:t xml:space="preserve">) الخاصة بمشروع أولي لتوصية جديدة لترحيل </w:t>
      </w:r>
      <w:r w:rsidR="00A9134F">
        <w:rPr>
          <w:rFonts w:hint="cs"/>
          <w:rtl/>
        </w:rPr>
        <w:t xml:space="preserve">إشارات المراقبة </w:t>
      </w:r>
      <w:r>
        <w:rPr>
          <w:rFonts w:hint="cs"/>
          <w:rtl/>
        </w:rPr>
        <w:t>(</w:t>
      </w:r>
      <w:r w:rsidRPr="00F87728">
        <w:t>PDNR M.[ADS-B]</w:t>
      </w:r>
      <w:r>
        <w:rPr>
          <w:rFonts w:hint="cs"/>
          <w:rtl/>
        </w:rPr>
        <w:t xml:space="preserve">) توصيفاً عن العملية الحالية </w:t>
      </w:r>
      <w:r w:rsidR="00290871">
        <w:rPr>
          <w:rFonts w:hint="cs"/>
          <w:rtl/>
        </w:rPr>
        <w:t>لنظام (</w:t>
      </w:r>
      <w:r w:rsidR="00290871">
        <w:t>ADS-B</w:t>
      </w:r>
      <w:r w:rsidR="00290871">
        <w:rPr>
          <w:rFonts w:hint="cs"/>
          <w:rtl/>
        </w:rPr>
        <w:t xml:space="preserve">) </w:t>
      </w:r>
      <w:proofErr w:type="spellStart"/>
      <w:r w:rsidR="00290871">
        <w:rPr>
          <w:rFonts w:hint="cs"/>
          <w:rtl/>
        </w:rPr>
        <w:t>المقيّسة</w:t>
      </w:r>
      <w:proofErr w:type="spellEnd"/>
      <w:r w:rsidR="00290871">
        <w:rPr>
          <w:rFonts w:hint="cs"/>
          <w:rtl/>
        </w:rPr>
        <w:t xml:space="preserve"> دولياً، وتوصيفاً لإمكان توسعة نظام</w:t>
      </w:r>
      <w:r w:rsidR="00A9134F">
        <w:rPr>
          <w:rFonts w:hint="cs"/>
          <w:rtl/>
        </w:rPr>
        <w:t xml:space="preserve"> </w:t>
      </w:r>
      <w:proofErr w:type="spellStart"/>
      <w:r w:rsidR="00A9134F">
        <w:rPr>
          <w:rFonts w:hint="cs"/>
          <w:rtl/>
        </w:rPr>
        <w:t>سواتل</w:t>
      </w:r>
      <w:proofErr w:type="spellEnd"/>
      <w:r w:rsidR="00A9134F">
        <w:rPr>
          <w:rFonts w:hint="cs"/>
          <w:rtl/>
        </w:rPr>
        <w:t xml:space="preserve"> إشارات المراقبة </w:t>
      </w:r>
      <w:proofErr w:type="spellStart"/>
      <w:r w:rsidR="00A9134F">
        <w:rPr>
          <w:rFonts w:hint="cs"/>
          <w:rtl/>
        </w:rPr>
        <w:t>الأوتوماتية</w:t>
      </w:r>
      <w:proofErr w:type="spellEnd"/>
      <w:r w:rsidR="00A9134F">
        <w:rPr>
          <w:rFonts w:hint="cs"/>
          <w:rtl/>
        </w:rPr>
        <w:t xml:space="preserve"> التابعة بأسلوب الإذاعة</w:t>
      </w:r>
      <w:r w:rsidR="00290871">
        <w:rPr>
          <w:rFonts w:hint="cs"/>
          <w:rtl/>
        </w:rPr>
        <w:t xml:space="preserve"> (</w:t>
      </w:r>
      <w:r w:rsidR="00290871">
        <w:t>ADS-B</w:t>
      </w:r>
      <w:r w:rsidR="00290871">
        <w:rPr>
          <w:rFonts w:hint="cs"/>
          <w:rtl/>
        </w:rPr>
        <w:t>) ، وتحليل مواءمة بين نظام (</w:t>
      </w:r>
      <w:r w:rsidR="00290871">
        <w:t>ADS-B</w:t>
      </w:r>
      <w:r w:rsidR="00290871">
        <w:rPr>
          <w:rFonts w:hint="cs"/>
          <w:rtl/>
        </w:rPr>
        <w:t xml:space="preserve">) </w:t>
      </w:r>
      <w:r w:rsidR="00A9134F">
        <w:rPr>
          <w:rFonts w:hint="cs"/>
          <w:rtl/>
        </w:rPr>
        <w:t xml:space="preserve">عبر </w:t>
      </w:r>
      <w:proofErr w:type="spellStart"/>
      <w:r w:rsidR="00A9134F">
        <w:rPr>
          <w:rFonts w:hint="cs"/>
          <w:rtl/>
        </w:rPr>
        <w:t>ا</w:t>
      </w:r>
      <w:r w:rsidR="00290871">
        <w:rPr>
          <w:rFonts w:hint="cs"/>
          <w:rtl/>
        </w:rPr>
        <w:t>لسواتل</w:t>
      </w:r>
      <w:proofErr w:type="spellEnd"/>
      <w:r w:rsidR="00290871">
        <w:rPr>
          <w:rFonts w:hint="cs"/>
          <w:rtl/>
        </w:rPr>
        <w:t xml:space="preserve"> المقترح والأنظمة القائمة المتشاركة معها في النطاق.</w:t>
      </w:r>
      <w:r w:rsidR="00A9134F">
        <w:rPr>
          <w:rFonts w:hint="cs"/>
          <w:rtl/>
        </w:rPr>
        <w:t xml:space="preserve"> ويتطلب النظام المقترح (</w:t>
      </w:r>
      <w:r w:rsidR="00A9134F">
        <w:t>ADS-B</w:t>
      </w:r>
      <w:r w:rsidR="00A9134F">
        <w:rPr>
          <w:rFonts w:hint="cs"/>
          <w:rtl/>
        </w:rPr>
        <w:t xml:space="preserve">) عبر </w:t>
      </w:r>
      <w:proofErr w:type="spellStart"/>
      <w:r w:rsidR="00A9134F">
        <w:rPr>
          <w:rFonts w:hint="cs"/>
          <w:rtl/>
        </w:rPr>
        <w:t>السواتل</w:t>
      </w:r>
      <w:proofErr w:type="spellEnd"/>
      <w:r w:rsidR="00EF3D21">
        <w:rPr>
          <w:rFonts w:hint="cs"/>
          <w:rtl/>
        </w:rPr>
        <w:t xml:space="preserve"> توزيع خدمة </w:t>
      </w:r>
      <w:proofErr w:type="spellStart"/>
      <w:r w:rsidR="00EF3D21">
        <w:rPr>
          <w:rFonts w:hint="cs"/>
          <w:rtl/>
        </w:rPr>
        <w:t>ساتلية</w:t>
      </w:r>
      <w:proofErr w:type="spellEnd"/>
      <w:r w:rsidR="00EF3D21">
        <w:rPr>
          <w:rFonts w:hint="cs"/>
          <w:rtl/>
        </w:rPr>
        <w:t xml:space="preserve"> متنقلة </w:t>
      </w:r>
      <w:r w:rsidR="003C778F">
        <w:rPr>
          <w:rFonts w:hint="cs"/>
          <w:rtl/>
        </w:rPr>
        <w:t>للطيران</w:t>
      </w:r>
      <w:r w:rsidR="00EF3D21">
        <w:rPr>
          <w:rFonts w:hint="cs"/>
          <w:rtl/>
        </w:rPr>
        <w:t xml:space="preserve"> جديدة قريبة من </w:t>
      </w:r>
      <w:r w:rsidR="00EF3D21">
        <w:t>1</w:t>
      </w:r>
      <w:r w:rsidR="00A9134F">
        <w:rPr>
          <w:rFonts w:hint="cs"/>
          <w:rtl/>
        </w:rPr>
        <w:t xml:space="preserve"> </w:t>
      </w:r>
      <w:r w:rsidR="00EF3D21">
        <w:rPr>
          <w:rFonts w:hint="cs"/>
          <w:rtl/>
        </w:rPr>
        <w:t xml:space="preserve"> </w:t>
      </w:r>
      <w:r w:rsidR="00EF3D21">
        <w:t>090</w:t>
      </w:r>
      <w:r w:rsidR="00EF3D21">
        <w:rPr>
          <w:rFonts w:hint="cs"/>
          <w:rtl/>
        </w:rPr>
        <w:t xml:space="preserve"> </w:t>
      </w:r>
      <w:r w:rsidR="00EF3D21">
        <w:t>MHz</w:t>
      </w:r>
      <w:r w:rsidR="00EF3D21">
        <w:rPr>
          <w:rFonts w:hint="cs"/>
          <w:rtl/>
        </w:rPr>
        <w:t xml:space="preserve">. ونطاق تردد </w:t>
      </w:r>
      <w:r w:rsidR="00EF3D21">
        <w:t>960</w:t>
      </w:r>
      <w:r w:rsidR="00EF3D21">
        <w:rPr>
          <w:rFonts w:hint="cs"/>
          <w:rtl/>
        </w:rPr>
        <w:t xml:space="preserve"> - </w:t>
      </w:r>
      <w:r w:rsidR="00EF3D21">
        <w:t>1</w:t>
      </w:r>
      <w:r w:rsidR="00EF3D21">
        <w:rPr>
          <w:rFonts w:hint="cs"/>
          <w:rtl/>
        </w:rPr>
        <w:t xml:space="preserve"> </w:t>
      </w:r>
      <w:r w:rsidR="00EF3D21">
        <w:t>164</w:t>
      </w:r>
      <w:r w:rsidR="00EF3D21">
        <w:rPr>
          <w:rFonts w:hint="cs"/>
          <w:rtl/>
        </w:rPr>
        <w:t xml:space="preserve"> </w:t>
      </w:r>
      <w:r w:rsidR="00EF3D21">
        <w:t>MHz</w:t>
      </w:r>
      <w:r w:rsidR="00EF3D21">
        <w:rPr>
          <w:rFonts w:hint="cs"/>
          <w:rtl/>
        </w:rPr>
        <w:t xml:space="preserve"> موزع حالياً في لوائح الراديو على الخدمة المتنقلة </w:t>
      </w:r>
      <w:r w:rsidR="003C778F">
        <w:rPr>
          <w:rFonts w:hint="cs"/>
          <w:rtl/>
        </w:rPr>
        <w:t>للطيران</w:t>
      </w:r>
      <w:r w:rsidR="00EF3D21">
        <w:rPr>
          <w:rFonts w:hint="cs"/>
          <w:rtl/>
        </w:rPr>
        <w:t xml:space="preserve"> </w:t>
      </w:r>
      <w:r w:rsidR="003C778F">
        <w:rPr>
          <w:rFonts w:hint="cs"/>
          <w:rtl/>
        </w:rPr>
        <w:t>(</w:t>
      </w:r>
      <w:r w:rsidR="003C778F">
        <w:t>R</w:t>
      </w:r>
      <w:r w:rsidR="003C778F">
        <w:rPr>
          <w:rFonts w:hint="cs"/>
          <w:rtl/>
        </w:rPr>
        <w:t>) وخدمة الملاحة الراديوية للطيران (</w:t>
      </w:r>
      <w:r w:rsidR="003C778F">
        <w:t>ARNS</w:t>
      </w:r>
      <w:r w:rsidR="003C778F">
        <w:rPr>
          <w:rFonts w:hint="cs"/>
          <w:rtl/>
        </w:rPr>
        <w:t xml:space="preserve">) على أساس أولي. وما من ترددات مخصصة للتشغيل الساتلي ضمن هذا النطاق. وفي كثير من البلدان، ومنها الصين، </w:t>
      </w:r>
      <w:r w:rsidR="00BF15AE">
        <w:rPr>
          <w:rFonts w:hint="cs"/>
          <w:rtl/>
        </w:rPr>
        <w:t>ثمة أنظمة موحدة لخدمة الملاحة الراديوية للطيران (</w:t>
      </w:r>
      <w:r w:rsidR="00BF15AE">
        <w:t>ARNS</w:t>
      </w:r>
      <w:r w:rsidR="00BF15AE">
        <w:rPr>
          <w:rFonts w:hint="cs"/>
          <w:rtl/>
        </w:rPr>
        <w:t>) غير خاضعة لمنظمة الطيران المدني (</w:t>
      </w:r>
      <w:r w:rsidR="00BF15AE">
        <w:t>ICAO</w:t>
      </w:r>
      <w:r w:rsidR="00BF15AE">
        <w:rPr>
          <w:rFonts w:hint="cs"/>
          <w:rtl/>
        </w:rPr>
        <w:t xml:space="preserve">) تعمل ضمن هذا النطاق، </w:t>
      </w:r>
      <w:r w:rsidR="003C778F">
        <w:rPr>
          <w:rFonts w:hint="cs"/>
          <w:rtl/>
        </w:rPr>
        <w:t>كما هو مبين في القرار (</w:t>
      </w:r>
      <w:r w:rsidR="003C778F">
        <w:t>Rev. WRC-12</w:t>
      </w:r>
      <w:r w:rsidR="003C778F">
        <w:rPr>
          <w:rFonts w:hint="cs"/>
          <w:rtl/>
        </w:rPr>
        <w:t xml:space="preserve">) </w:t>
      </w:r>
      <w:r w:rsidR="003C778F">
        <w:t>417</w:t>
      </w:r>
      <w:r w:rsidR="003C778F">
        <w:rPr>
          <w:rFonts w:hint="cs"/>
          <w:rtl/>
        </w:rPr>
        <w:t>.</w:t>
      </w:r>
    </w:p>
    <w:p w:rsidR="00BF15AE" w:rsidRDefault="00BF15AE" w:rsidP="008020AD">
      <w:pPr>
        <w:rPr>
          <w:rtl/>
        </w:rPr>
      </w:pPr>
      <w:r>
        <w:rPr>
          <w:rFonts w:hint="cs"/>
          <w:rtl/>
        </w:rPr>
        <w:t xml:space="preserve">وطبقاً لنتائج أحدث اجتماع لفرقة العمل </w:t>
      </w:r>
      <w:r>
        <w:t>5</w:t>
      </w:r>
      <w:r>
        <w:rPr>
          <w:rFonts w:hint="cs"/>
          <w:rtl/>
        </w:rPr>
        <w:t xml:space="preserve"> </w:t>
      </w:r>
      <w:r>
        <w:t>B</w:t>
      </w:r>
      <w:r>
        <w:rPr>
          <w:rFonts w:hint="cs"/>
          <w:rtl/>
        </w:rPr>
        <w:t xml:space="preserve"> في يوليو </w:t>
      </w:r>
      <w:r>
        <w:t>2015</w:t>
      </w:r>
      <w:r w:rsidR="00024EA4">
        <w:rPr>
          <w:rFonts w:hint="cs"/>
          <w:rtl/>
        </w:rPr>
        <w:t>، لم ينته كلا التقريران الخاصان بـالنظامين (</w:t>
      </w:r>
      <w:r w:rsidR="00024EA4">
        <w:t>M. [GFT]</w:t>
      </w:r>
      <w:r w:rsidR="00024EA4">
        <w:rPr>
          <w:rFonts w:hint="cs"/>
          <w:rtl/>
        </w:rPr>
        <w:t>) و(</w:t>
      </w:r>
      <w:r w:rsidR="00024EA4">
        <w:t>M. [ADS-B]</w:t>
      </w:r>
      <w:r w:rsidR="00024EA4">
        <w:rPr>
          <w:rFonts w:hint="cs"/>
          <w:rtl/>
        </w:rPr>
        <w:t xml:space="preserve">)، وبعض المسائل التقنية يلزمها مزيد من الدراسة، مثل المواءمة بين نظام </w:t>
      </w:r>
      <w:proofErr w:type="spellStart"/>
      <w:r w:rsidR="00024EA4">
        <w:rPr>
          <w:rFonts w:hint="cs"/>
          <w:rtl/>
        </w:rPr>
        <w:t>سواتل</w:t>
      </w:r>
      <w:proofErr w:type="spellEnd"/>
      <w:r w:rsidR="00024EA4">
        <w:rPr>
          <w:rFonts w:hint="cs"/>
          <w:rtl/>
        </w:rPr>
        <w:t xml:space="preserve"> (</w:t>
      </w:r>
      <w:r w:rsidR="00024EA4">
        <w:t>ADS-B</w:t>
      </w:r>
      <w:r w:rsidR="00024EA4">
        <w:rPr>
          <w:rFonts w:hint="cs"/>
          <w:rtl/>
        </w:rPr>
        <w:t xml:space="preserve">) </w:t>
      </w:r>
      <w:proofErr w:type="spellStart"/>
      <w:r w:rsidR="00024EA4">
        <w:rPr>
          <w:rFonts w:hint="cs"/>
          <w:rtl/>
        </w:rPr>
        <w:t>وونظم</w:t>
      </w:r>
      <w:proofErr w:type="spellEnd"/>
      <w:r w:rsidR="00024EA4">
        <w:rPr>
          <w:rFonts w:hint="cs"/>
          <w:rtl/>
        </w:rPr>
        <w:t xml:space="preserve"> (</w:t>
      </w:r>
      <w:r w:rsidR="00024EA4">
        <w:t>ARNS</w:t>
      </w:r>
      <w:r w:rsidR="00024EA4">
        <w:rPr>
          <w:rFonts w:hint="cs"/>
          <w:rtl/>
        </w:rPr>
        <w:t xml:space="preserve">) غير الخاضعة </w:t>
      </w:r>
      <w:proofErr w:type="spellStart"/>
      <w:r w:rsidR="00024EA4">
        <w:rPr>
          <w:rFonts w:hint="cs"/>
          <w:rtl/>
        </w:rPr>
        <w:t>للإيكاو</w:t>
      </w:r>
      <w:proofErr w:type="spellEnd"/>
      <w:r w:rsidR="00024EA4">
        <w:rPr>
          <w:rFonts w:hint="cs"/>
          <w:rtl/>
        </w:rPr>
        <w:t xml:space="preserve"> والمشتركة معها في النطاق، واستقبال إشارات (</w:t>
      </w:r>
      <w:r w:rsidR="00024EA4">
        <w:t>ADS-B</w:t>
      </w:r>
      <w:r w:rsidR="00024EA4">
        <w:rPr>
          <w:rFonts w:hint="cs"/>
          <w:rtl/>
        </w:rPr>
        <w:t>) من الطائرات الصغيرة المجهزة بهوائي أسفلها فقط</w:t>
      </w:r>
      <w:r w:rsidR="008020AD">
        <w:rPr>
          <w:rFonts w:hint="cs"/>
          <w:rtl/>
        </w:rPr>
        <w:t>، واستقبال إشارات (</w:t>
      </w:r>
      <w:r w:rsidR="008020AD">
        <w:t>ADS-B</w:t>
      </w:r>
      <w:r w:rsidR="008020AD">
        <w:rPr>
          <w:rFonts w:hint="cs"/>
          <w:rtl/>
        </w:rPr>
        <w:t xml:space="preserve">) من طائرات الطيران العام غير المرسلة على النطاق </w:t>
      </w:r>
      <w:r w:rsidR="008020AD">
        <w:t>1</w:t>
      </w:r>
      <w:r w:rsidR="008020AD">
        <w:rPr>
          <w:rFonts w:hint="cs"/>
          <w:rtl/>
        </w:rPr>
        <w:t xml:space="preserve"> </w:t>
      </w:r>
      <w:r w:rsidR="008020AD">
        <w:t>090</w:t>
      </w:r>
      <w:r w:rsidR="008020AD">
        <w:rPr>
          <w:rFonts w:hint="cs"/>
          <w:rtl/>
        </w:rPr>
        <w:t xml:space="preserve"> </w:t>
      </w:r>
      <w:r w:rsidR="008020AD">
        <w:t>MHz</w:t>
      </w:r>
      <w:r w:rsidR="008020AD">
        <w:rPr>
          <w:rFonts w:hint="cs"/>
          <w:rtl/>
        </w:rPr>
        <w:t xml:space="preserve">، وآلية التنسيق بين أنظمة </w:t>
      </w:r>
      <w:proofErr w:type="spellStart"/>
      <w:r w:rsidR="008020AD">
        <w:rPr>
          <w:rFonts w:hint="cs"/>
          <w:rtl/>
        </w:rPr>
        <w:t>سواتل</w:t>
      </w:r>
      <w:proofErr w:type="spellEnd"/>
      <w:r w:rsidR="008020AD">
        <w:rPr>
          <w:rFonts w:hint="cs"/>
          <w:rtl/>
        </w:rPr>
        <w:t xml:space="preserve"> (</w:t>
      </w:r>
      <w:r w:rsidR="008020AD">
        <w:t>ADS-B</w:t>
      </w:r>
      <w:r w:rsidR="008020AD">
        <w:rPr>
          <w:rFonts w:hint="cs"/>
          <w:rtl/>
        </w:rPr>
        <w:t>) والأنظمة القائمة المتشاركة معها في النطاق، إلخ.</w:t>
      </w:r>
    </w:p>
    <w:p w:rsidR="008020AD" w:rsidRDefault="008020AD" w:rsidP="008020AD">
      <w:pPr>
        <w:pStyle w:val="ListParagraph"/>
        <w:numPr>
          <w:ilvl w:val="0"/>
          <w:numId w:val="14"/>
        </w:numPr>
        <w:rPr>
          <w:rtl/>
        </w:rPr>
      </w:pPr>
      <w:r>
        <w:rPr>
          <w:rFonts w:hint="cs"/>
          <w:rtl/>
        </w:rPr>
        <w:t xml:space="preserve">دراسات فرقة العمل </w:t>
      </w:r>
      <w:r>
        <w:t>4</w:t>
      </w:r>
      <w:r>
        <w:rPr>
          <w:rFonts w:hint="cs"/>
          <w:rtl/>
        </w:rPr>
        <w:t xml:space="preserve"> </w:t>
      </w:r>
      <w:r>
        <w:t>C</w:t>
      </w:r>
    </w:p>
    <w:p w:rsidR="00D20720" w:rsidRPr="008020AD" w:rsidRDefault="008020AD" w:rsidP="00B5757E">
      <w:pPr>
        <w:rPr>
          <w:rtl/>
        </w:rPr>
      </w:pPr>
      <w:r>
        <w:rPr>
          <w:rFonts w:hint="cs"/>
          <w:rtl/>
        </w:rPr>
        <w:t xml:space="preserve">في آخر اجتماع لها في يونيو </w:t>
      </w:r>
      <w:r>
        <w:t>2015</w:t>
      </w:r>
      <w:r>
        <w:rPr>
          <w:rFonts w:hint="cs"/>
          <w:rtl/>
        </w:rPr>
        <w:t xml:space="preserve">، أعدت فرقة العمل </w:t>
      </w:r>
      <w:r>
        <w:t>4</w:t>
      </w:r>
      <w:r>
        <w:rPr>
          <w:rFonts w:hint="cs"/>
          <w:rtl/>
        </w:rPr>
        <w:t xml:space="preserve"> </w:t>
      </w:r>
      <w:r>
        <w:t>C</w:t>
      </w:r>
      <w:r>
        <w:rPr>
          <w:rFonts w:hint="cs"/>
          <w:rtl/>
        </w:rPr>
        <w:t xml:space="preserve"> </w:t>
      </w:r>
      <w:r w:rsidR="00BD65ED">
        <w:rPr>
          <w:rFonts w:hint="cs"/>
          <w:rtl/>
        </w:rPr>
        <w:t>ال</w:t>
      </w:r>
      <w:r>
        <w:rPr>
          <w:rFonts w:hint="cs"/>
          <w:rtl/>
        </w:rPr>
        <w:t xml:space="preserve">مشروع </w:t>
      </w:r>
      <w:r w:rsidR="00BD65ED">
        <w:rPr>
          <w:rFonts w:hint="cs"/>
          <w:rtl/>
        </w:rPr>
        <w:t>الأولي ل</w:t>
      </w:r>
      <w:r>
        <w:rPr>
          <w:rFonts w:hint="cs"/>
          <w:rtl/>
        </w:rPr>
        <w:t xml:space="preserve">لتقرير </w:t>
      </w:r>
      <w:r w:rsidR="00BD65ED" w:rsidRPr="00F87728">
        <w:t>ITU-R M.[ADS-MSS]</w:t>
      </w:r>
      <w:r w:rsidR="00BD65ED">
        <w:rPr>
          <w:rFonts w:hint="cs"/>
          <w:rtl/>
        </w:rPr>
        <w:t xml:space="preserve">، واصفاً استخدام خدمة </w:t>
      </w:r>
      <w:proofErr w:type="spellStart"/>
      <w:r w:rsidR="00BD65ED">
        <w:rPr>
          <w:rFonts w:hint="cs"/>
          <w:rtl/>
        </w:rPr>
        <w:t>الساتل</w:t>
      </w:r>
      <w:proofErr w:type="spellEnd"/>
      <w:r w:rsidR="00BD65ED">
        <w:rPr>
          <w:rFonts w:hint="cs"/>
          <w:rtl/>
        </w:rPr>
        <w:t xml:space="preserve"> المتنقلة لتقديم خدمات </w:t>
      </w:r>
      <w:r w:rsidR="00BD65ED" w:rsidRPr="00F87728">
        <w:t>ADS-C</w:t>
      </w:r>
      <w:r w:rsidR="00BD65ED">
        <w:rPr>
          <w:rFonts w:hint="cs"/>
          <w:rtl/>
        </w:rPr>
        <w:t xml:space="preserve"> و</w:t>
      </w:r>
      <w:r w:rsidR="00BD65ED" w:rsidRPr="00BD65ED">
        <w:t xml:space="preserve"> </w:t>
      </w:r>
      <w:r w:rsidR="00BD65ED" w:rsidRPr="00F87728">
        <w:t>ADS-B</w:t>
      </w:r>
      <w:r w:rsidR="00BD65ED">
        <w:rPr>
          <w:rFonts w:hint="cs"/>
          <w:rtl/>
        </w:rPr>
        <w:t xml:space="preserve">لتتبع الرحلات الجوية. ويرد في التقرير أن العديد من شبكات </w:t>
      </w:r>
      <w:r w:rsidR="00BD65ED" w:rsidRPr="00F87728">
        <w:t>MSS</w:t>
      </w:r>
      <w:r w:rsidR="00BD65ED">
        <w:rPr>
          <w:rFonts w:hint="cs"/>
          <w:rtl/>
        </w:rPr>
        <w:t xml:space="preserve"> قيد التشغيل حالياً وتقدم أو تخطط لتقديم تغطية إقليمية، وفي بعض الحالات، تغطية عالمية، وهناك على الأقل شبكة </w:t>
      </w:r>
      <w:r w:rsidR="00BD65ED" w:rsidRPr="00F87728">
        <w:t>MSS</w:t>
      </w:r>
      <w:r w:rsidR="00BD65ED">
        <w:rPr>
          <w:rFonts w:hint="cs"/>
          <w:rtl/>
        </w:rPr>
        <w:t xml:space="preserve"> واحدة تقدم تغطية عالمية، بما في ذلك المناطق القطبية. و</w:t>
      </w:r>
      <w:r w:rsidR="00B5757E">
        <w:rPr>
          <w:rFonts w:hint="cs"/>
          <w:rtl/>
        </w:rPr>
        <w:t>يمكن إعادة إرسال</w:t>
      </w:r>
      <w:r w:rsidR="00BD65ED">
        <w:rPr>
          <w:rFonts w:hint="cs"/>
          <w:rtl/>
        </w:rPr>
        <w:t xml:space="preserve"> بيانات أنظمة </w:t>
      </w:r>
      <w:r w:rsidR="00BD65ED" w:rsidRPr="00F87728">
        <w:t>ADS-B</w:t>
      </w:r>
      <w:r w:rsidR="00BD65ED">
        <w:rPr>
          <w:rFonts w:hint="cs"/>
          <w:rtl/>
        </w:rPr>
        <w:t xml:space="preserve"> أو </w:t>
      </w:r>
      <w:r w:rsidR="00BD65ED" w:rsidRPr="00F87728">
        <w:t>ADS-C</w:t>
      </w:r>
      <w:r w:rsidR="00B5757E">
        <w:rPr>
          <w:rFonts w:hint="cs"/>
          <w:rtl/>
        </w:rPr>
        <w:t xml:space="preserve"> من الطائرات من خلال شبكات تلك إلى الأنظمة المقامة على سطح الأرض مثل مراكز إدارة الحركة الجوية.</w:t>
      </w:r>
    </w:p>
    <w:p w:rsidR="00D20720" w:rsidRDefault="00B5757E" w:rsidP="00B5757E">
      <w:pPr>
        <w:pStyle w:val="ListParagraph"/>
        <w:numPr>
          <w:ilvl w:val="0"/>
          <w:numId w:val="14"/>
        </w:numPr>
      </w:pPr>
      <w:r>
        <w:rPr>
          <w:rFonts w:hint="cs"/>
          <w:rtl/>
        </w:rPr>
        <w:t xml:space="preserve">دراسات </w:t>
      </w:r>
      <w:r w:rsidR="008C34B4">
        <w:rPr>
          <w:rFonts w:hint="cs"/>
          <w:rtl/>
        </w:rPr>
        <w:t>منظمة الطيران المدني الدولي (</w:t>
      </w:r>
      <w:r w:rsidR="008C34B4">
        <w:t>ICAO</w:t>
      </w:r>
      <w:r w:rsidR="008C34B4">
        <w:rPr>
          <w:rFonts w:hint="cs"/>
          <w:rtl/>
        </w:rPr>
        <w:t>)</w:t>
      </w:r>
    </w:p>
    <w:p w:rsidR="008C34B4" w:rsidRDefault="008C34B4" w:rsidP="00806DAE">
      <w:pPr>
        <w:rPr>
          <w:rtl/>
        </w:rPr>
      </w:pPr>
      <w:r>
        <w:rPr>
          <w:rFonts w:hint="cs"/>
          <w:rtl/>
        </w:rPr>
        <w:t xml:space="preserve">تقترح المنظمة </w:t>
      </w:r>
      <w:r w:rsidR="00A47B2F">
        <w:rPr>
          <w:rFonts w:hint="cs"/>
          <w:rtl/>
        </w:rPr>
        <w:t>(</w:t>
      </w:r>
      <w:r w:rsidR="00A47B2F">
        <w:t>ICAO</w:t>
      </w:r>
      <w:r w:rsidR="00A47B2F">
        <w:rPr>
          <w:rFonts w:hint="cs"/>
          <w:rtl/>
        </w:rPr>
        <w:t xml:space="preserve">) </w:t>
      </w:r>
      <w:r>
        <w:rPr>
          <w:rFonts w:hint="cs"/>
          <w:rtl/>
        </w:rPr>
        <w:t xml:space="preserve">بندا جديدا في جدول أعمال للمؤتمر العالمي للاتصالات الراديوية القادم، بغرض مناقشة </w:t>
      </w:r>
      <w:r w:rsidR="00A47B2F">
        <w:rPr>
          <w:rFonts w:hint="cs"/>
          <w:rtl/>
        </w:rPr>
        <w:t>التغييرات التي يلزم إدخالها على لوائح الراديو للسماح بتنفيذ النظام العالمي للاستغاثة والسلامة في الطيران (</w:t>
      </w:r>
      <w:r w:rsidR="00A47B2F" w:rsidRPr="00F87728">
        <w:t>GADSS</w:t>
      </w:r>
      <w:r w:rsidR="00A47B2F">
        <w:rPr>
          <w:rFonts w:hint="cs"/>
          <w:rtl/>
        </w:rPr>
        <w:t>). وطبقاً لتوصيف المنظمة (</w:t>
      </w:r>
      <w:r w:rsidR="00A47B2F">
        <w:t>ICAO</w:t>
      </w:r>
      <w:r w:rsidR="00A47B2F">
        <w:rPr>
          <w:rFonts w:hint="cs"/>
          <w:rtl/>
        </w:rPr>
        <w:t xml:space="preserve">)، </w:t>
      </w:r>
      <w:r w:rsidR="00806DAE">
        <w:rPr>
          <w:rFonts w:hint="cs"/>
          <w:rtl/>
        </w:rPr>
        <w:t>فإن (</w:t>
      </w:r>
      <w:r w:rsidR="00806DAE" w:rsidRPr="00F87728">
        <w:t>GADSS</w:t>
      </w:r>
      <w:r w:rsidR="00806DAE">
        <w:rPr>
          <w:rFonts w:hint="cs"/>
          <w:rtl/>
        </w:rPr>
        <w:t xml:space="preserve">) هو "نظام أنظمة" يعالج قضايا من قبيل تتبع الطائرات في الظروف العادية وغير العادية، والتتبع التلقائي للاستغاثة، واسترجاع بيانات الرحلات الجوية، وإدارة المعلومات والإجراءات. ومسألة التتبع </w:t>
      </w:r>
      <w:r w:rsidR="00806DAE" w:rsidRPr="00F87728">
        <w:t>GFT</w:t>
      </w:r>
      <w:r w:rsidR="00806DAE">
        <w:rPr>
          <w:rFonts w:hint="cs"/>
          <w:rtl/>
        </w:rPr>
        <w:t xml:space="preserve"> مكون من مكونات النظام </w:t>
      </w:r>
      <w:r w:rsidR="00806DAE" w:rsidRPr="00F87728">
        <w:t>GADSS</w:t>
      </w:r>
      <w:r w:rsidR="00806DAE">
        <w:rPr>
          <w:rFonts w:hint="cs"/>
          <w:rtl/>
        </w:rPr>
        <w:t xml:space="preserve"> ويمكن معالجتها على نحو أفضل في إطار النظام.</w:t>
      </w:r>
    </w:p>
    <w:p w:rsidR="00D20720" w:rsidRDefault="00D20720" w:rsidP="00552C5B">
      <w:pPr>
        <w:rPr>
          <w:rtl/>
        </w:rPr>
      </w:pPr>
    </w:p>
    <w:p w:rsidR="00D20720" w:rsidRDefault="00D20720" w:rsidP="00552C5B">
      <w:pPr>
        <w:rPr>
          <w:rtl/>
        </w:rPr>
      </w:pPr>
    </w:p>
    <w:p w:rsidR="00D20720" w:rsidRDefault="00D20720" w:rsidP="00552C5B">
      <w:pPr>
        <w:rPr>
          <w:rtl/>
        </w:rPr>
      </w:pPr>
    </w:p>
    <w:p w:rsidR="00D20720" w:rsidRDefault="00D20720" w:rsidP="00552C5B">
      <w:pPr>
        <w:rPr>
          <w:rtl/>
        </w:rPr>
      </w:pPr>
    </w:p>
    <w:p w:rsidR="00D20720" w:rsidRDefault="00D20720" w:rsidP="00552C5B">
      <w:pPr>
        <w:rPr>
          <w:rtl/>
        </w:rPr>
      </w:pPr>
    </w:p>
    <w:p w:rsidR="00D20720" w:rsidRDefault="00D20720" w:rsidP="00552C5B">
      <w:pPr>
        <w:rPr>
          <w:rtl/>
        </w:rPr>
      </w:pPr>
    </w:p>
    <w:p w:rsidR="00D20720" w:rsidRDefault="00D20720" w:rsidP="00552C5B">
      <w:pPr>
        <w:rPr>
          <w:rtl/>
        </w:rPr>
      </w:pPr>
    </w:p>
    <w:p w:rsidR="00D20720" w:rsidRDefault="00D20720" w:rsidP="00311765">
      <w:pPr>
        <w:pStyle w:val="Headingb"/>
        <w:rPr>
          <w:rtl/>
        </w:rPr>
      </w:pPr>
      <w:r>
        <w:rPr>
          <w:rFonts w:hint="cs"/>
          <w:rtl/>
        </w:rPr>
        <w:t>المقترحات</w:t>
      </w:r>
    </w:p>
    <w:p w:rsidR="002919E1" w:rsidRPr="002919E1" w:rsidRDefault="008F4626" w:rsidP="00531DC7">
      <w:pPr>
        <w:rPr>
          <w:noProof/>
          <w:rtl/>
        </w:rPr>
      </w:pPr>
      <w:r w:rsidRPr="002919E1">
        <w:rPr>
          <w:rtl/>
        </w:rPr>
        <w:br w:type="page"/>
      </w:r>
    </w:p>
    <w:p w:rsidR="009F37C9" w:rsidRDefault="005F0C0E" w:rsidP="008A6056">
      <w:pPr>
        <w:pStyle w:val="ArtNo"/>
        <w:rPr>
          <w:rtl/>
        </w:rPr>
      </w:pPr>
      <w:r>
        <w:rPr>
          <w:rtl/>
        </w:rPr>
        <w:lastRenderedPageBreak/>
        <w:t xml:space="preserve">المـادة </w:t>
      </w:r>
      <w:r w:rsidRPr="008462AD">
        <w:rPr>
          <w:rStyle w:val="href"/>
        </w:rPr>
        <w:t>5</w:t>
      </w:r>
    </w:p>
    <w:p w:rsidR="009F37C9" w:rsidRPr="007031A9" w:rsidRDefault="005F0C0E" w:rsidP="009F37C9">
      <w:pPr>
        <w:pStyle w:val="Arttitle"/>
        <w:rPr>
          <w:b w:val="0"/>
          <w:rtl/>
        </w:rPr>
      </w:pPr>
      <w:bookmarkStart w:id="4" w:name="_Toc331055733"/>
      <w:r w:rsidRPr="007031A9">
        <w:rPr>
          <w:b w:val="0"/>
          <w:rtl/>
        </w:rPr>
        <w:t>توزيع نطاقات التردد</w:t>
      </w:r>
      <w:bookmarkEnd w:id="4"/>
    </w:p>
    <w:p w:rsidR="009F37C9" w:rsidRDefault="005F0C0E"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7C57BF" w:rsidRDefault="005F0C0E">
      <w:pPr>
        <w:pStyle w:val="Proposal"/>
      </w:pPr>
      <w:r>
        <w:rPr>
          <w:u w:val="single"/>
        </w:rPr>
        <w:t>NOC</w:t>
      </w:r>
      <w:r>
        <w:tab/>
        <w:t>CHN/62A25/1</w:t>
      </w:r>
    </w:p>
    <w:p w:rsidR="009F37C9" w:rsidRPr="00507D1D" w:rsidRDefault="005F0C0E">
      <w:pPr>
        <w:pStyle w:val="Tabletitle"/>
        <w:rPr>
          <w:rtl/>
        </w:rPr>
        <w:pPrChange w:id="5" w:author="El Wardany, Samy" w:date="2011-08-01T14:42:00Z">
          <w:pPr/>
        </w:pPrChange>
      </w:pPr>
      <w:r w:rsidRPr="00507D1D">
        <w:t>MHz 1 300-890</w:t>
      </w:r>
    </w:p>
    <w:tbl>
      <w:tblPr>
        <w:bidiVisual/>
        <w:tblW w:w="9360" w:type="dxa"/>
        <w:tblLayout w:type="fixed"/>
        <w:tblCellMar>
          <w:left w:w="107" w:type="dxa"/>
          <w:right w:w="107" w:type="dxa"/>
        </w:tblCellMar>
        <w:tblLook w:val="0000" w:firstRow="0" w:lastRow="0" w:firstColumn="0" w:lastColumn="0" w:noHBand="0" w:noVBand="0"/>
      </w:tblPr>
      <w:tblGrid>
        <w:gridCol w:w="3104"/>
        <w:gridCol w:w="3275"/>
        <w:gridCol w:w="2981"/>
      </w:tblGrid>
      <w:tr w:rsidR="0059443D" w:rsidRPr="00CB32D7" w:rsidTr="00FE7E6B">
        <w:trPr>
          <w:cantSplit/>
        </w:trPr>
        <w:tc>
          <w:tcPr>
            <w:tcW w:w="9360" w:type="dxa"/>
            <w:gridSpan w:val="3"/>
            <w:tcBorders>
              <w:top w:val="single" w:sz="6" w:space="0" w:color="auto"/>
              <w:left w:val="single" w:sz="6" w:space="0" w:color="auto"/>
              <w:bottom w:val="single" w:sz="6" w:space="0" w:color="auto"/>
              <w:right w:val="single" w:sz="6" w:space="0" w:color="auto"/>
            </w:tcBorders>
          </w:tcPr>
          <w:p w:rsidR="0059443D" w:rsidRPr="00CB32D7" w:rsidRDefault="005F0C0E" w:rsidP="00FE7E6B">
            <w:pPr>
              <w:pStyle w:val="Tablehead"/>
              <w:rPr>
                <w:rFonts w:ascii="Times New Roman" w:hAnsi="Times New Roman"/>
              </w:rPr>
            </w:pPr>
            <w:r w:rsidRPr="00CB32D7">
              <w:rPr>
                <w:rFonts w:ascii="Times New Roman" w:hAnsi="Times New Roman"/>
                <w:rtl/>
              </w:rPr>
              <w:t>التوزيع على الخدمات</w:t>
            </w:r>
          </w:p>
        </w:tc>
      </w:tr>
      <w:tr w:rsidR="0059443D" w:rsidRPr="00CB32D7" w:rsidTr="00FE7E6B">
        <w:trPr>
          <w:cantSplit/>
        </w:trPr>
        <w:tc>
          <w:tcPr>
            <w:tcW w:w="3104" w:type="dxa"/>
            <w:tcBorders>
              <w:top w:val="single" w:sz="6" w:space="0" w:color="auto"/>
              <w:left w:val="single" w:sz="6" w:space="0" w:color="auto"/>
              <w:bottom w:val="single" w:sz="6" w:space="0" w:color="auto"/>
              <w:right w:val="single" w:sz="6" w:space="0" w:color="auto"/>
            </w:tcBorders>
          </w:tcPr>
          <w:p w:rsidR="0059443D" w:rsidRPr="00CB32D7" w:rsidRDefault="005F0C0E" w:rsidP="00FE7E6B">
            <w:pPr>
              <w:pStyle w:val="Tablehead"/>
              <w:spacing w:before="40" w:after="40"/>
              <w:rPr>
                <w:rFonts w:ascii="Times New Roman" w:hAnsi="Times New Roman"/>
              </w:rPr>
            </w:pPr>
            <w:r w:rsidRPr="00CB32D7">
              <w:rPr>
                <w:rFonts w:ascii="Times New Roman" w:hAnsi="Times New Roman"/>
                <w:rtl/>
              </w:rPr>
              <w:t xml:space="preserve">الإقليم </w:t>
            </w:r>
            <w:r w:rsidRPr="00CB32D7">
              <w:rPr>
                <w:rFonts w:ascii="Times New Roman" w:hAnsi="Times New Roman"/>
              </w:rPr>
              <w:t>1</w:t>
            </w:r>
          </w:p>
        </w:tc>
        <w:tc>
          <w:tcPr>
            <w:tcW w:w="3275" w:type="dxa"/>
            <w:tcBorders>
              <w:top w:val="single" w:sz="6" w:space="0" w:color="auto"/>
              <w:left w:val="single" w:sz="6" w:space="0" w:color="auto"/>
              <w:bottom w:val="single" w:sz="6" w:space="0" w:color="auto"/>
              <w:right w:val="single" w:sz="6" w:space="0" w:color="auto"/>
            </w:tcBorders>
          </w:tcPr>
          <w:p w:rsidR="0059443D" w:rsidRPr="00CB32D7" w:rsidRDefault="005F0C0E" w:rsidP="00FE7E6B">
            <w:pPr>
              <w:pStyle w:val="Tablehead"/>
              <w:spacing w:before="40" w:after="40"/>
              <w:rPr>
                <w:rFonts w:ascii="Times New Roman" w:hAnsi="Times New Roman"/>
              </w:rPr>
            </w:pPr>
            <w:r w:rsidRPr="00CB32D7">
              <w:rPr>
                <w:rFonts w:ascii="Times New Roman" w:hAnsi="Times New Roman"/>
                <w:rtl/>
              </w:rPr>
              <w:t xml:space="preserve">الإقليم </w:t>
            </w:r>
            <w:r w:rsidRPr="00CB32D7">
              <w:rPr>
                <w:rFonts w:ascii="Times New Roman" w:hAnsi="Times New Roman"/>
              </w:rPr>
              <w:t>2</w:t>
            </w:r>
          </w:p>
        </w:tc>
        <w:tc>
          <w:tcPr>
            <w:tcW w:w="2981" w:type="dxa"/>
            <w:tcBorders>
              <w:top w:val="single" w:sz="6" w:space="0" w:color="auto"/>
              <w:left w:val="single" w:sz="6" w:space="0" w:color="auto"/>
              <w:bottom w:val="single" w:sz="6" w:space="0" w:color="auto"/>
              <w:right w:val="single" w:sz="6" w:space="0" w:color="auto"/>
            </w:tcBorders>
          </w:tcPr>
          <w:p w:rsidR="0059443D" w:rsidRPr="00CB32D7" w:rsidRDefault="005F0C0E" w:rsidP="00FE7E6B">
            <w:pPr>
              <w:pStyle w:val="Tablehead"/>
              <w:spacing w:before="40" w:after="40"/>
              <w:rPr>
                <w:rFonts w:ascii="Times New Roman" w:hAnsi="Times New Roman"/>
              </w:rPr>
            </w:pPr>
            <w:r w:rsidRPr="00CB32D7">
              <w:rPr>
                <w:rFonts w:ascii="Times New Roman" w:hAnsi="Times New Roman"/>
                <w:rtl/>
              </w:rPr>
              <w:t xml:space="preserve">الإقليم </w:t>
            </w:r>
            <w:r w:rsidRPr="00CB32D7">
              <w:rPr>
                <w:rFonts w:ascii="Times New Roman" w:hAnsi="Times New Roman"/>
              </w:rPr>
              <w:t>3</w:t>
            </w:r>
          </w:p>
        </w:tc>
      </w:tr>
      <w:tr w:rsidR="0059443D" w:rsidRPr="00CB32D7" w:rsidTr="005F1F1C">
        <w:trPr>
          <w:cantSplit/>
        </w:trPr>
        <w:tc>
          <w:tcPr>
            <w:tcW w:w="3104" w:type="dxa"/>
            <w:tcBorders>
              <w:top w:val="single" w:sz="4" w:space="0" w:color="auto"/>
              <w:left w:val="single" w:sz="6" w:space="0" w:color="auto"/>
              <w:right w:val="single" w:sz="6" w:space="0" w:color="auto"/>
            </w:tcBorders>
          </w:tcPr>
          <w:p w:rsidR="0059443D" w:rsidRPr="00FA3B95" w:rsidRDefault="005F0C0E" w:rsidP="00FE7E6B">
            <w:pPr>
              <w:pStyle w:val="TabletextS5"/>
              <w:rPr>
                <w:rStyle w:val="Tablefreq"/>
              </w:rPr>
            </w:pPr>
            <w:r w:rsidRPr="00FA3B95">
              <w:rPr>
                <w:rStyle w:val="Tablefreq"/>
              </w:rPr>
              <w:t>960-942</w:t>
            </w:r>
          </w:p>
          <w:p w:rsidR="0059443D" w:rsidRPr="00AF4CA3" w:rsidRDefault="005F0C0E" w:rsidP="00FE7E6B">
            <w:pPr>
              <w:pStyle w:val="TabletextS5"/>
              <w:rPr>
                <w:b/>
                <w:bCs/>
              </w:rPr>
            </w:pPr>
            <w:r w:rsidRPr="00AF4CA3">
              <w:rPr>
                <w:b/>
                <w:bCs/>
                <w:rtl/>
              </w:rPr>
              <w:t>ثابتة</w:t>
            </w:r>
          </w:p>
          <w:p w:rsidR="0059443D" w:rsidRPr="00E741AA" w:rsidRDefault="005F0C0E" w:rsidP="00FE7E6B">
            <w:pPr>
              <w:pStyle w:val="TabletextS5"/>
              <w:ind w:left="143" w:hanging="143"/>
            </w:pPr>
            <w:r w:rsidRPr="00E741AA">
              <w:rPr>
                <w:b/>
                <w:bCs/>
                <w:rtl/>
              </w:rPr>
              <w:t>متنقلة</w:t>
            </w:r>
            <w:r w:rsidRPr="00E741AA">
              <w:rPr>
                <w:rtl/>
              </w:rPr>
              <w:t xml:space="preserve"> باستثناء المتنقلة </w:t>
            </w:r>
            <w:r w:rsidRPr="00E741AA">
              <w:rPr>
                <w:rtl/>
              </w:rPr>
              <w:br/>
              <w:t xml:space="preserve">للطيران  </w:t>
            </w:r>
            <w:r w:rsidR="00A606BB" w:rsidRPr="00A606BB">
              <w:rPr>
                <w:rStyle w:val="Artref"/>
                <w:b w:val="0"/>
                <w:bCs w:val="0"/>
              </w:rPr>
              <w:t>317A.5</w:t>
            </w:r>
            <w:r w:rsidRPr="00E741AA">
              <w:rPr>
                <w:rtl/>
              </w:rPr>
              <w:t xml:space="preserve"> </w:t>
            </w:r>
          </w:p>
          <w:p w:rsidR="0059443D" w:rsidRPr="00E741AA" w:rsidRDefault="005F0C0E" w:rsidP="00FE7E6B">
            <w:pPr>
              <w:pStyle w:val="TabletextS5"/>
            </w:pPr>
            <w:r w:rsidRPr="00E741AA">
              <w:rPr>
                <w:b/>
                <w:bCs/>
                <w:rtl/>
              </w:rPr>
              <w:t>إذاعية</w:t>
            </w:r>
            <w:r w:rsidRPr="00E741AA">
              <w:rPr>
                <w:rtl/>
              </w:rPr>
              <w:t xml:space="preserve">  </w:t>
            </w:r>
            <w:r w:rsidR="00A606BB" w:rsidRPr="00A606BB">
              <w:rPr>
                <w:rStyle w:val="Artref"/>
                <w:b w:val="0"/>
                <w:bCs w:val="0"/>
              </w:rPr>
              <w:t>322.5</w:t>
            </w:r>
            <w:r w:rsidRPr="00E741AA">
              <w:rPr>
                <w:rtl/>
              </w:rPr>
              <w:t xml:space="preserve">  </w:t>
            </w:r>
          </w:p>
        </w:tc>
        <w:tc>
          <w:tcPr>
            <w:tcW w:w="3275" w:type="dxa"/>
            <w:tcBorders>
              <w:top w:val="single" w:sz="4" w:space="0" w:color="auto"/>
              <w:left w:val="single" w:sz="6" w:space="0" w:color="auto"/>
              <w:right w:val="single" w:sz="6" w:space="0" w:color="auto"/>
            </w:tcBorders>
          </w:tcPr>
          <w:p w:rsidR="0059443D" w:rsidRPr="00FA3B95" w:rsidRDefault="005F0C0E" w:rsidP="00FE7E6B">
            <w:pPr>
              <w:pStyle w:val="TabletextS5"/>
              <w:rPr>
                <w:rStyle w:val="Tablefreq"/>
              </w:rPr>
            </w:pPr>
            <w:r w:rsidRPr="00FA3B95">
              <w:rPr>
                <w:rStyle w:val="Tablefreq"/>
              </w:rPr>
              <w:t>960-942</w:t>
            </w:r>
          </w:p>
          <w:p w:rsidR="0059443D" w:rsidRPr="00E741AA" w:rsidRDefault="005F0C0E" w:rsidP="00FE7E6B">
            <w:pPr>
              <w:pStyle w:val="TabletextS5"/>
            </w:pPr>
            <w:r w:rsidRPr="00E741AA">
              <w:rPr>
                <w:b/>
                <w:bCs/>
                <w:rtl/>
              </w:rPr>
              <w:t>ثابتة</w:t>
            </w:r>
          </w:p>
          <w:p w:rsidR="00A606BB" w:rsidRPr="00A606BB" w:rsidRDefault="005F0C0E" w:rsidP="00FE7E6B">
            <w:pPr>
              <w:pStyle w:val="TabletextS5"/>
              <w:rPr>
                <w:rStyle w:val="Artref"/>
                <w:b w:val="0"/>
                <w:bCs w:val="0"/>
              </w:rPr>
            </w:pPr>
            <w:r w:rsidRPr="00E741AA">
              <w:rPr>
                <w:b/>
                <w:bCs/>
                <w:rtl/>
              </w:rPr>
              <w:t>متنقلة</w:t>
            </w:r>
            <w:r w:rsidRPr="00E741AA">
              <w:rPr>
                <w:rtl/>
              </w:rPr>
              <w:t xml:space="preserve">  </w:t>
            </w:r>
            <w:r w:rsidR="00A606BB" w:rsidRPr="00A606BB">
              <w:rPr>
                <w:rStyle w:val="Artref"/>
                <w:b w:val="0"/>
                <w:bCs w:val="0"/>
              </w:rPr>
              <w:t>317A.5</w:t>
            </w:r>
          </w:p>
          <w:p w:rsidR="0059443D" w:rsidRPr="00E741AA" w:rsidRDefault="00160B67" w:rsidP="00FE7E6B">
            <w:pPr>
              <w:pStyle w:val="TabletextS5"/>
            </w:pPr>
          </w:p>
        </w:tc>
        <w:tc>
          <w:tcPr>
            <w:tcW w:w="2981" w:type="dxa"/>
            <w:tcBorders>
              <w:top w:val="single" w:sz="4" w:space="0" w:color="auto"/>
              <w:left w:val="single" w:sz="6" w:space="0" w:color="auto"/>
              <w:right w:val="single" w:sz="6" w:space="0" w:color="auto"/>
            </w:tcBorders>
          </w:tcPr>
          <w:p w:rsidR="0059443D" w:rsidRPr="00FA3B95" w:rsidRDefault="005F0C0E" w:rsidP="00FE7E6B">
            <w:pPr>
              <w:pStyle w:val="TabletextS5"/>
              <w:rPr>
                <w:rStyle w:val="Tablefreq"/>
              </w:rPr>
            </w:pPr>
            <w:r w:rsidRPr="00FA3B95">
              <w:rPr>
                <w:rStyle w:val="Tablefreq"/>
              </w:rPr>
              <w:t>960-942</w:t>
            </w:r>
          </w:p>
          <w:p w:rsidR="0059443D" w:rsidRPr="00E741AA" w:rsidRDefault="005F0C0E" w:rsidP="00FE7E6B">
            <w:pPr>
              <w:pStyle w:val="TabletextS5"/>
            </w:pPr>
            <w:r w:rsidRPr="00E741AA">
              <w:rPr>
                <w:b/>
                <w:bCs/>
                <w:rtl/>
              </w:rPr>
              <w:t>ثابتة</w:t>
            </w:r>
          </w:p>
          <w:p w:rsidR="0059443D" w:rsidRPr="00E741AA" w:rsidRDefault="005F0C0E" w:rsidP="00FE7E6B">
            <w:pPr>
              <w:pStyle w:val="TabletextS5"/>
            </w:pPr>
            <w:r w:rsidRPr="00E741AA">
              <w:rPr>
                <w:b/>
                <w:bCs/>
                <w:rtl/>
              </w:rPr>
              <w:t>متنقلة</w:t>
            </w:r>
            <w:r w:rsidRPr="00E741AA">
              <w:rPr>
                <w:rtl/>
              </w:rPr>
              <w:t xml:space="preserve">  </w:t>
            </w:r>
            <w:r w:rsidR="00A606BB" w:rsidRPr="00A606BB">
              <w:rPr>
                <w:rStyle w:val="Artref"/>
                <w:b w:val="0"/>
                <w:bCs w:val="0"/>
              </w:rPr>
              <w:t>317A.5</w:t>
            </w:r>
          </w:p>
          <w:p w:rsidR="0059443D" w:rsidRPr="00E741AA" w:rsidRDefault="005F0C0E" w:rsidP="00FE7E6B">
            <w:pPr>
              <w:pStyle w:val="TabletextS5"/>
              <w:rPr>
                <w:rtl/>
              </w:rPr>
            </w:pPr>
            <w:r w:rsidRPr="00E741AA">
              <w:rPr>
                <w:b/>
                <w:bCs/>
                <w:rtl/>
              </w:rPr>
              <w:t>إذاعية</w:t>
            </w:r>
            <w:r w:rsidRPr="00E741AA">
              <w:rPr>
                <w:rtl/>
              </w:rPr>
              <w:t xml:space="preserve">  </w:t>
            </w:r>
            <w:r w:rsidRPr="00E741AA">
              <w:br/>
            </w:r>
          </w:p>
        </w:tc>
      </w:tr>
      <w:tr w:rsidR="0059443D" w:rsidRPr="00CB32D7" w:rsidTr="005F1F1C">
        <w:trPr>
          <w:cantSplit/>
        </w:trPr>
        <w:tc>
          <w:tcPr>
            <w:tcW w:w="3104" w:type="dxa"/>
            <w:tcBorders>
              <w:left w:val="single" w:sz="6" w:space="0" w:color="auto"/>
              <w:bottom w:val="single" w:sz="4" w:space="0" w:color="auto"/>
              <w:right w:val="single" w:sz="6" w:space="0" w:color="auto"/>
            </w:tcBorders>
          </w:tcPr>
          <w:p w:rsidR="0059443D" w:rsidRPr="00CB32D7" w:rsidRDefault="00A606BB" w:rsidP="00FE7E6B">
            <w:pPr>
              <w:pStyle w:val="TabletextS5"/>
              <w:rPr>
                <w:rStyle w:val="Tablefreq"/>
                <w:lang w:val="fr-CH"/>
              </w:rPr>
            </w:pPr>
            <w:r w:rsidRPr="00A606BB">
              <w:rPr>
                <w:rStyle w:val="Artref"/>
                <w:b w:val="0"/>
              </w:rPr>
              <w:t>323.5</w:t>
            </w:r>
          </w:p>
        </w:tc>
        <w:tc>
          <w:tcPr>
            <w:tcW w:w="3275" w:type="dxa"/>
            <w:tcBorders>
              <w:left w:val="single" w:sz="6" w:space="0" w:color="auto"/>
              <w:bottom w:val="single" w:sz="4" w:space="0" w:color="auto"/>
              <w:right w:val="single" w:sz="6" w:space="0" w:color="auto"/>
            </w:tcBorders>
          </w:tcPr>
          <w:p w:rsidR="0059443D" w:rsidRPr="00AF4CA3" w:rsidRDefault="00160B67" w:rsidP="00FE7E6B">
            <w:pPr>
              <w:pStyle w:val="TabletextS5"/>
              <w:rPr>
                <w:rStyle w:val="Artref"/>
              </w:rPr>
            </w:pPr>
          </w:p>
        </w:tc>
        <w:tc>
          <w:tcPr>
            <w:tcW w:w="2981" w:type="dxa"/>
            <w:tcBorders>
              <w:left w:val="single" w:sz="6" w:space="0" w:color="auto"/>
              <w:bottom w:val="single" w:sz="4" w:space="0" w:color="auto"/>
              <w:right w:val="single" w:sz="6" w:space="0" w:color="auto"/>
            </w:tcBorders>
          </w:tcPr>
          <w:p w:rsidR="0059443D" w:rsidRPr="00CB32D7" w:rsidRDefault="00A606BB" w:rsidP="00FE7E6B">
            <w:pPr>
              <w:pStyle w:val="TabletextS5"/>
              <w:rPr>
                <w:rStyle w:val="Artref"/>
                <w:lang w:val="fr-CH"/>
              </w:rPr>
            </w:pPr>
            <w:r w:rsidRPr="00A606BB">
              <w:rPr>
                <w:rStyle w:val="Artref"/>
                <w:b w:val="0"/>
              </w:rPr>
              <w:t>320.5</w:t>
            </w:r>
          </w:p>
        </w:tc>
      </w:tr>
      <w:tr w:rsidR="0059443D" w:rsidRPr="00CB32D7" w:rsidTr="005F1F1C">
        <w:tblPrEx>
          <w:tblBorders>
            <w:top w:val="single" w:sz="6" w:space="0" w:color="auto"/>
            <w:left w:val="single" w:sz="6" w:space="0" w:color="auto"/>
            <w:bottom w:val="single" w:sz="6" w:space="0" w:color="auto"/>
            <w:right w:val="single" w:sz="6" w:space="0" w:color="auto"/>
          </w:tblBorders>
        </w:tblPrEx>
        <w:trPr>
          <w:cantSplit/>
        </w:trPr>
        <w:tc>
          <w:tcPr>
            <w:tcW w:w="9360" w:type="dxa"/>
            <w:gridSpan w:val="3"/>
            <w:tcBorders>
              <w:top w:val="single" w:sz="4" w:space="0" w:color="auto"/>
              <w:left w:val="single" w:sz="4" w:space="0" w:color="auto"/>
              <w:bottom w:val="single" w:sz="4" w:space="0" w:color="auto"/>
              <w:right w:val="single" w:sz="4" w:space="0" w:color="auto"/>
            </w:tcBorders>
          </w:tcPr>
          <w:p w:rsidR="0059443D" w:rsidRPr="00CB32D7" w:rsidRDefault="005F0C0E" w:rsidP="00A606BB">
            <w:pPr>
              <w:pStyle w:val="TabletextS5"/>
              <w:rPr>
                <w:rtl/>
              </w:rPr>
            </w:pPr>
            <w:r w:rsidRPr="00FA3B95">
              <w:rPr>
                <w:rStyle w:val="Tablefreq"/>
              </w:rPr>
              <w:t>1 164-960</w:t>
            </w:r>
            <w:r w:rsidRPr="00CB32D7">
              <w:tab/>
            </w:r>
            <w:r w:rsidRPr="00AF4CA3">
              <w:rPr>
                <w:b/>
                <w:bCs/>
                <w:rtl/>
              </w:rPr>
              <w:t>متنقلة للطيران</w:t>
            </w:r>
            <w:r w:rsidRPr="00CB32D7">
              <w:rPr>
                <w:rtl/>
              </w:rPr>
              <w:t xml:space="preserve"> </w:t>
            </w:r>
            <w:r w:rsidR="00A606BB" w:rsidRPr="00A606BB">
              <w:rPr>
                <w:rStyle w:val="Artref"/>
                <w:b w:val="0"/>
              </w:rPr>
              <w:t>327A.5</w:t>
            </w:r>
            <w:r w:rsidRPr="00CB32D7">
              <w:t xml:space="preserve">  (R)</w:t>
            </w:r>
          </w:p>
          <w:p w:rsidR="0059443D" w:rsidRPr="00CB32D7" w:rsidRDefault="005F0C0E" w:rsidP="00A606BB">
            <w:pPr>
              <w:pStyle w:val="TabletextS5"/>
              <w:rPr>
                <w:lang w:val="fr-CH"/>
              </w:rPr>
            </w:pPr>
            <w:r w:rsidRPr="00CB32D7">
              <w:rPr>
                <w:rtl/>
              </w:rPr>
              <w:tab/>
            </w:r>
            <w:r w:rsidRPr="00AF4CA3">
              <w:rPr>
                <w:b/>
                <w:bCs/>
                <w:rtl/>
              </w:rPr>
              <w:t>ملاحة راديوية للطيران</w:t>
            </w:r>
            <w:r w:rsidRPr="00CB32D7">
              <w:rPr>
                <w:rtl/>
              </w:rPr>
              <w:t xml:space="preserve"> </w:t>
            </w:r>
            <w:r w:rsidR="00A606BB" w:rsidRPr="00A606BB">
              <w:rPr>
                <w:rStyle w:val="Artref"/>
                <w:b w:val="0"/>
              </w:rPr>
              <w:t>328.5</w:t>
            </w:r>
          </w:p>
        </w:tc>
      </w:tr>
      <w:tr w:rsidR="0059443D" w:rsidRPr="00CB32D7" w:rsidTr="005F1F1C">
        <w:tblPrEx>
          <w:tblBorders>
            <w:top w:val="single" w:sz="6" w:space="0" w:color="auto"/>
            <w:left w:val="single" w:sz="6" w:space="0" w:color="auto"/>
            <w:bottom w:val="single" w:sz="6" w:space="0" w:color="auto"/>
            <w:right w:val="single" w:sz="6" w:space="0" w:color="auto"/>
          </w:tblBorders>
        </w:tblPrEx>
        <w:trPr>
          <w:cantSplit/>
        </w:trPr>
        <w:tc>
          <w:tcPr>
            <w:tcW w:w="9360" w:type="dxa"/>
            <w:gridSpan w:val="3"/>
            <w:tcBorders>
              <w:top w:val="single" w:sz="4" w:space="0" w:color="auto"/>
              <w:left w:val="single" w:sz="4" w:space="0" w:color="auto"/>
              <w:bottom w:val="single" w:sz="4" w:space="0" w:color="auto"/>
              <w:right w:val="single" w:sz="4" w:space="0" w:color="auto"/>
            </w:tcBorders>
          </w:tcPr>
          <w:p w:rsidR="0059443D" w:rsidRPr="00CB32D7" w:rsidRDefault="005F0C0E" w:rsidP="00A606BB">
            <w:pPr>
              <w:pStyle w:val="TabletextS5"/>
            </w:pPr>
            <w:r w:rsidRPr="00FA3B95">
              <w:rPr>
                <w:rStyle w:val="Tablefreq"/>
              </w:rPr>
              <w:t>1 164</w:t>
            </w:r>
            <w:r w:rsidRPr="00FA3B95">
              <w:rPr>
                <w:rStyle w:val="Tablefreq"/>
                <w:rtl/>
              </w:rPr>
              <w:t>-</w:t>
            </w:r>
            <w:r w:rsidRPr="00FA3B95">
              <w:rPr>
                <w:rStyle w:val="Tablefreq"/>
              </w:rPr>
              <w:t>1 215</w:t>
            </w:r>
            <w:r w:rsidRPr="00CB32D7">
              <w:rPr>
                <w:lang w:val="fr-CH"/>
              </w:rPr>
              <w:tab/>
            </w:r>
            <w:r w:rsidRPr="00E44600">
              <w:rPr>
                <w:b/>
                <w:bCs/>
                <w:rtl/>
                <w:lang w:val="fr-CH"/>
              </w:rPr>
              <w:t>ملاحة راديوية للطيران</w:t>
            </w:r>
            <w:r w:rsidRPr="00CB32D7">
              <w:rPr>
                <w:rtl/>
                <w:lang w:val="fr-CH"/>
              </w:rPr>
              <w:t xml:space="preserve"> </w:t>
            </w:r>
            <w:r w:rsidRPr="00CB32D7">
              <w:rPr>
                <w:lang w:val="fr-CH"/>
              </w:rPr>
              <w:t>328.5</w:t>
            </w:r>
          </w:p>
          <w:p w:rsidR="0059443D" w:rsidRPr="00CB32D7" w:rsidRDefault="005F0C0E" w:rsidP="00A606BB">
            <w:pPr>
              <w:pStyle w:val="TabletextS5"/>
              <w:tabs>
                <w:tab w:val="left" w:pos="3403"/>
              </w:tabs>
              <w:rPr>
                <w:rtl/>
              </w:rPr>
            </w:pPr>
            <w:r w:rsidRPr="00CB32D7">
              <w:rPr>
                <w:lang w:val="fr-CH"/>
              </w:rPr>
              <w:tab/>
            </w:r>
            <w:r w:rsidRPr="00CB32D7">
              <w:rPr>
                <w:b/>
                <w:bCs/>
                <w:rtl/>
                <w:lang w:val="fr-CH"/>
              </w:rPr>
              <w:t xml:space="preserve">ملاحة راديوية </w:t>
            </w:r>
            <w:proofErr w:type="spellStart"/>
            <w:r w:rsidRPr="00CB32D7">
              <w:rPr>
                <w:b/>
                <w:bCs/>
                <w:rtl/>
                <w:lang w:val="fr-CH"/>
              </w:rPr>
              <w:t>ساتلية</w:t>
            </w:r>
            <w:proofErr w:type="spellEnd"/>
            <w:r w:rsidRPr="00CB32D7">
              <w:rPr>
                <w:rtl/>
                <w:lang w:val="fr-CH"/>
              </w:rPr>
              <w:t xml:space="preserve"> (فضاء-أرض) (فضاء-فضاء)</w:t>
            </w:r>
            <w:r w:rsidRPr="00CB32D7">
              <w:rPr>
                <w:rtl/>
                <w:lang w:val="fr-CH"/>
              </w:rPr>
              <w:br/>
            </w:r>
            <w:r w:rsidR="00A606BB" w:rsidRPr="00A606BB">
              <w:rPr>
                <w:rStyle w:val="Artref"/>
                <w:b w:val="0"/>
              </w:rPr>
              <w:tab/>
              <w:t>328B.5</w:t>
            </w:r>
          </w:p>
          <w:p w:rsidR="0059443D" w:rsidRPr="00CB32D7" w:rsidRDefault="005F0C0E" w:rsidP="00A606BB">
            <w:pPr>
              <w:pStyle w:val="TabletextS5"/>
              <w:rPr>
                <w:rtl/>
              </w:rPr>
            </w:pPr>
            <w:r w:rsidRPr="00CB32D7">
              <w:rPr>
                <w:lang w:val="fr-CH"/>
              </w:rPr>
              <w:tab/>
            </w:r>
            <w:r w:rsidR="00A606BB" w:rsidRPr="00A606BB">
              <w:rPr>
                <w:rStyle w:val="Artref"/>
                <w:b w:val="0"/>
              </w:rPr>
              <w:t>328A.5</w:t>
            </w:r>
          </w:p>
        </w:tc>
      </w:tr>
    </w:tbl>
    <w:p w:rsidR="007C57BF" w:rsidRDefault="005F0C0E">
      <w:pPr>
        <w:pStyle w:val="Reasons"/>
        <w:rPr>
          <w:rtl/>
        </w:rPr>
      </w:pPr>
      <w:r>
        <w:rPr>
          <w:rtl/>
        </w:rPr>
        <w:t>الأسباب:</w:t>
      </w:r>
      <w:r>
        <w:tab/>
      </w:r>
    </w:p>
    <w:p w:rsidR="00A606BB" w:rsidRDefault="00011D5D" w:rsidP="00011D5D">
      <w:pPr>
        <w:rPr>
          <w:rtl/>
        </w:rPr>
      </w:pPr>
      <w:r>
        <w:rPr>
          <w:rFonts w:hint="cs"/>
          <w:rtl/>
        </w:rPr>
        <w:t xml:space="preserve">في ضوء أن دراسات قطاع الاتصالات الراديوية لم تنته بعد، فإنه من الصعوبة بمكان في هذه المرحلة تشكيل تدابير تنظيمية وتقنية. وفي الوقت نفسه، ينبغي توخي الحذر لضمان أن الخدمات الجديدة لا تفرض أي تقييدات على الخدمات القائمة في نطاق التردد  </w:t>
      </w:r>
      <w:r w:rsidRPr="00F87728">
        <w:t>960</w:t>
      </w:r>
      <w:r>
        <w:rPr>
          <w:rFonts w:hint="cs"/>
          <w:rtl/>
        </w:rPr>
        <w:t xml:space="preserve"> - </w:t>
      </w:r>
      <w:r w:rsidRPr="00F87728">
        <w:t>1 164</w:t>
      </w:r>
      <w:r>
        <w:rPr>
          <w:rFonts w:hint="cs"/>
          <w:rtl/>
        </w:rPr>
        <w:t xml:space="preserve"> </w:t>
      </w:r>
      <w:r>
        <w:t xml:space="preserve"> MH</w:t>
      </w:r>
      <w:r>
        <w:rPr>
          <w:rFonts w:hint="cs"/>
          <w:rtl/>
        </w:rPr>
        <w:t>.</w:t>
      </w:r>
    </w:p>
    <w:p w:rsidR="00A606BB" w:rsidRDefault="00A606BB" w:rsidP="00A606BB">
      <w:pPr>
        <w:rPr>
          <w:rtl/>
        </w:rPr>
      </w:pPr>
    </w:p>
    <w:p w:rsidR="00A606BB" w:rsidRDefault="00A606BB" w:rsidP="00A606BB">
      <w:pPr>
        <w:rPr>
          <w:rtl/>
        </w:rPr>
      </w:pPr>
    </w:p>
    <w:p w:rsidR="00A606BB" w:rsidRDefault="00A606BB" w:rsidP="00A606BB">
      <w:pPr>
        <w:rPr>
          <w:rtl/>
        </w:rPr>
      </w:pPr>
    </w:p>
    <w:p w:rsidR="00A606BB" w:rsidRDefault="00A606BB" w:rsidP="00A606BB">
      <w:pPr>
        <w:rPr>
          <w:rtl/>
        </w:rPr>
      </w:pPr>
    </w:p>
    <w:p w:rsidR="00A606BB" w:rsidRDefault="00A606BB" w:rsidP="00011D5D">
      <w:pPr>
        <w:rPr>
          <w:rtl/>
          <w:lang w:bidi="ar-EG"/>
        </w:rPr>
      </w:pPr>
      <w:r>
        <w:t>2</w:t>
      </w:r>
      <w:r>
        <w:tab/>
      </w:r>
      <w:r w:rsidR="00011D5D">
        <w:rPr>
          <w:rFonts w:hint="cs"/>
          <w:rtl/>
        </w:rPr>
        <w:t>ينبغي إدراج مسألة التتبع العالمي للرحلات الجوية على جدول أعمال المؤتمر العالمي القادم للاتصالات الراديوية</w:t>
      </w:r>
      <w:r w:rsidR="00011D5D">
        <w:rPr>
          <w:rFonts w:hint="cs"/>
          <w:rtl/>
          <w:lang w:bidi="ar-EG"/>
        </w:rPr>
        <w:t>.</w:t>
      </w:r>
    </w:p>
    <w:p w:rsidR="00B5142B" w:rsidRDefault="00B5142B" w:rsidP="00A606BB">
      <w:pPr>
        <w:rPr>
          <w:b/>
          <w:bCs/>
          <w:rtl/>
          <w:lang w:bidi="ar-EG"/>
        </w:rPr>
      </w:pPr>
      <w:r w:rsidRPr="00B5142B">
        <w:rPr>
          <w:rFonts w:hint="cs"/>
          <w:b/>
          <w:bCs/>
          <w:rtl/>
          <w:lang w:bidi="ar-EG"/>
        </w:rPr>
        <w:t>الأسباب</w:t>
      </w:r>
    </w:p>
    <w:p w:rsidR="00B5142B" w:rsidRDefault="00B5142B" w:rsidP="00A606BB">
      <w:pPr>
        <w:rPr>
          <w:b/>
          <w:bCs/>
          <w:rtl/>
          <w:lang w:bidi="ar-EG"/>
        </w:rPr>
      </w:pPr>
    </w:p>
    <w:p w:rsidR="00B5142B" w:rsidRPr="00126F3F" w:rsidRDefault="00011D5D" w:rsidP="00126F3F">
      <w:pPr>
        <w:rPr>
          <w:b/>
          <w:bCs/>
          <w:rtl/>
          <w:lang w:bidi="ar-EG"/>
        </w:rPr>
      </w:pPr>
      <w:r>
        <w:rPr>
          <w:rFonts w:hint="cs"/>
          <w:rtl/>
        </w:rPr>
        <w:t xml:space="preserve">يمكن بوجه عام الوفاء بمتطلبات التتبع </w:t>
      </w:r>
      <w:r w:rsidRPr="00F87728">
        <w:t>GFT</w:t>
      </w:r>
      <w:r>
        <w:rPr>
          <w:rFonts w:hint="cs"/>
          <w:rtl/>
        </w:rPr>
        <w:t xml:space="preserve"> من خلال النظام </w:t>
      </w:r>
      <w:r w:rsidRPr="00F87728">
        <w:rPr>
          <w:lang w:eastAsia="zh-CN"/>
        </w:rPr>
        <w:t>ADS-C</w:t>
      </w:r>
      <w:r>
        <w:rPr>
          <w:rFonts w:hint="cs"/>
          <w:rtl/>
        </w:rPr>
        <w:t xml:space="preserve"> </w:t>
      </w:r>
      <w:r w:rsidR="00126F3F">
        <w:rPr>
          <w:rFonts w:hint="cs"/>
          <w:rtl/>
        </w:rPr>
        <w:t>وتكنولوجيات المراقبة الأرضية القائمة في إطار مدة زمني</w:t>
      </w:r>
      <w:r w:rsidR="00126F3F">
        <w:rPr>
          <w:rFonts w:hint="eastAsia"/>
          <w:rtl/>
        </w:rPr>
        <w:t>ة</w:t>
      </w:r>
      <w:r w:rsidR="00126F3F">
        <w:rPr>
          <w:rFonts w:hint="cs"/>
          <w:rtl/>
        </w:rPr>
        <w:t xml:space="preserve"> قصيرة.</w:t>
      </w:r>
      <w:r>
        <w:rPr>
          <w:rFonts w:hint="cs"/>
          <w:rtl/>
        </w:rPr>
        <w:t xml:space="preserve"> </w:t>
      </w:r>
      <w:r w:rsidR="00126F3F">
        <w:rPr>
          <w:rFonts w:hint="cs"/>
          <w:rtl/>
        </w:rPr>
        <w:t xml:space="preserve">ويمكن أن تستند التعديلات الضرورية على أحكام لوائح الراديو إلى نتائج دراسات القطاع </w:t>
      </w:r>
      <w:r w:rsidR="00126F3F" w:rsidRPr="00F87728">
        <w:rPr>
          <w:lang w:eastAsia="zh-CN"/>
        </w:rPr>
        <w:t>ITU-R</w:t>
      </w:r>
      <w:r w:rsidR="00126F3F">
        <w:rPr>
          <w:rFonts w:hint="cs"/>
          <w:rtl/>
          <w:lang w:eastAsia="zh-CN"/>
        </w:rPr>
        <w:t xml:space="preserve">، عندما تكتمل تلك الدراسات المتعلقة بنظام </w:t>
      </w:r>
      <w:r w:rsidR="00126F3F" w:rsidRPr="00F87728">
        <w:rPr>
          <w:lang w:eastAsia="zh-CN"/>
        </w:rPr>
        <w:t>ADS-B</w:t>
      </w:r>
      <w:r w:rsidR="00126F3F">
        <w:rPr>
          <w:rFonts w:hint="cs"/>
          <w:rtl/>
          <w:lang w:eastAsia="zh-CN"/>
        </w:rPr>
        <w:t xml:space="preserve"> الساتلي خلال الدورة الدراسية التي تسبق المؤتمر </w:t>
      </w:r>
      <w:r w:rsidR="00126F3F" w:rsidRPr="00F87728">
        <w:rPr>
          <w:lang w:eastAsia="zh-CN"/>
        </w:rPr>
        <w:t>WRC</w:t>
      </w:r>
      <w:r w:rsidR="00126F3F">
        <w:rPr>
          <w:rFonts w:hint="cs"/>
          <w:rtl/>
          <w:lang w:eastAsia="zh-CN"/>
        </w:rPr>
        <w:t xml:space="preserve"> القادم.</w:t>
      </w:r>
    </w:p>
    <w:p w:rsidR="00B5142B" w:rsidRPr="00B5142B" w:rsidRDefault="00B5142B" w:rsidP="00B5142B">
      <w:pPr>
        <w:spacing w:before="600"/>
        <w:jc w:val="center"/>
        <w:rPr>
          <w:b/>
          <w:bCs/>
          <w:rtl/>
          <w:lang w:bidi="ar-EG"/>
        </w:rPr>
      </w:pPr>
      <w:r>
        <w:rPr>
          <w:b/>
          <w:bCs/>
          <w:rtl/>
          <w:lang w:bidi="ar-EG"/>
        </w:rPr>
        <w:lastRenderedPageBreak/>
        <w:t>___________</w:t>
      </w:r>
    </w:p>
    <w:sectPr w:rsidR="00B5142B" w:rsidRPr="00B5142B">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5142B">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B5142B">
      <w:rPr>
        <w:noProof/>
        <w:lang w:val="es-ES"/>
      </w:rPr>
      <w:t>P:\ARA\ITU-R\CONF-R\CMR15\000\062ADD25A.docx</w:t>
    </w:r>
    <w:r w:rsidRPr="00CB4300">
      <w:fldChar w:fldCharType="end"/>
    </w:r>
    <w:r w:rsidRPr="00CB4300">
      <w:rPr>
        <w:lang w:val="es-ES"/>
      </w:rPr>
      <w:t xml:space="preserve">  (</w:t>
    </w:r>
    <w:r w:rsidR="00B5142B">
      <w:rPr>
        <w:rFonts w:hint="cs"/>
        <w:rtl/>
        <w:lang w:val="es-ES"/>
      </w:rPr>
      <w:t>388535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1B7F2B">
      <w:rPr>
        <w:noProof/>
        <w:rtl/>
      </w:rPr>
      <w:t>30.10.15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B4300">
    <w:pPr>
      <w:pStyle w:val="Footer"/>
      <w:rPr>
        <w:lang w:val="es-ES"/>
      </w:rPr>
    </w:pPr>
    <w:r>
      <w:fldChar w:fldCharType="begin"/>
    </w:r>
    <w:r w:rsidRPr="00CB4300">
      <w:rPr>
        <w:lang w:val="es-ES"/>
      </w:rPr>
      <w:instrText xml:space="preserve"> FILENAME \p \* MERGEFORMAT </w:instrText>
    </w:r>
    <w:r>
      <w:fldChar w:fldCharType="separate"/>
    </w:r>
    <w:r w:rsidR="008657CB">
      <w:rPr>
        <w:noProof/>
        <w:lang w:val="es-ES"/>
      </w:rPr>
      <w:t>C:\WRC12-DocumentsProposals\DPManager\Templates\WRC12-A.docx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1B7F2B">
      <w:rPr>
        <w:noProof/>
        <w:rtl/>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60B67">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62(Add.25)-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5A5E22A5"/>
    <w:multiLevelType w:val="hybridMultilevel"/>
    <w:tmpl w:val="8FC26924"/>
    <w:lvl w:ilvl="0" w:tplc="55A04BE8">
      <w:start w:val="16"/>
      <w:numFmt w:val="bullet"/>
      <w:lvlText w:val=""/>
      <w:lvlJc w:val="left"/>
      <w:pPr>
        <w:ind w:left="720" w:hanging="360"/>
      </w:pPr>
      <w:rPr>
        <w:rFonts w:ascii="Symbol" w:eastAsia="Times New Roman" w:hAnsi="Symbol" w:cs="Traditional Arabic"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D5D"/>
    <w:rsid w:val="00011F8C"/>
    <w:rsid w:val="00024EA4"/>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26F3F"/>
    <w:rsid w:val="001464F2"/>
    <w:rsid w:val="00160B67"/>
    <w:rsid w:val="001629EC"/>
    <w:rsid w:val="00167364"/>
    <w:rsid w:val="001903B2"/>
    <w:rsid w:val="001B7F2B"/>
    <w:rsid w:val="001E190C"/>
    <w:rsid w:val="001E54F6"/>
    <w:rsid w:val="001E5A8C"/>
    <w:rsid w:val="00201A0A"/>
    <w:rsid w:val="002075D4"/>
    <w:rsid w:val="00211B2A"/>
    <w:rsid w:val="00214870"/>
    <w:rsid w:val="002333A0"/>
    <w:rsid w:val="002543CF"/>
    <w:rsid w:val="00255868"/>
    <w:rsid w:val="0026062E"/>
    <w:rsid w:val="00260F50"/>
    <w:rsid w:val="00261EF7"/>
    <w:rsid w:val="0027069F"/>
    <w:rsid w:val="00277869"/>
    <w:rsid w:val="00280E04"/>
    <w:rsid w:val="00281F5F"/>
    <w:rsid w:val="002843E4"/>
    <w:rsid w:val="00290871"/>
    <w:rsid w:val="002919E1"/>
    <w:rsid w:val="00295917"/>
    <w:rsid w:val="00296071"/>
    <w:rsid w:val="002A4572"/>
    <w:rsid w:val="002A7E2E"/>
    <w:rsid w:val="002B16D8"/>
    <w:rsid w:val="002B3581"/>
    <w:rsid w:val="002D5F64"/>
    <w:rsid w:val="002D6FBF"/>
    <w:rsid w:val="002E48BF"/>
    <w:rsid w:val="002E61C2"/>
    <w:rsid w:val="00311765"/>
    <w:rsid w:val="0033737F"/>
    <w:rsid w:val="00345635"/>
    <w:rsid w:val="00353652"/>
    <w:rsid w:val="003569E1"/>
    <w:rsid w:val="003815E2"/>
    <w:rsid w:val="00381FAD"/>
    <w:rsid w:val="00382A66"/>
    <w:rsid w:val="003923B1"/>
    <w:rsid w:val="003965FE"/>
    <w:rsid w:val="003A5A13"/>
    <w:rsid w:val="003A6AB4"/>
    <w:rsid w:val="003B27AD"/>
    <w:rsid w:val="003B4F23"/>
    <w:rsid w:val="003C12F6"/>
    <w:rsid w:val="003C3A13"/>
    <w:rsid w:val="003C778F"/>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2C5B"/>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0C0E"/>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C57BF"/>
    <w:rsid w:val="007E0E8B"/>
    <w:rsid w:val="007F08CA"/>
    <w:rsid w:val="007F7FC3"/>
    <w:rsid w:val="008020AD"/>
    <w:rsid w:val="00806DAE"/>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C34B4"/>
    <w:rsid w:val="008D4F14"/>
    <w:rsid w:val="008D6ACC"/>
    <w:rsid w:val="008D7AF0"/>
    <w:rsid w:val="008E32DD"/>
    <w:rsid w:val="008F4626"/>
    <w:rsid w:val="009004DF"/>
    <w:rsid w:val="00904AA5"/>
    <w:rsid w:val="00905D21"/>
    <w:rsid w:val="00951718"/>
    <w:rsid w:val="00954CCB"/>
    <w:rsid w:val="00960962"/>
    <w:rsid w:val="0096200C"/>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47B2F"/>
    <w:rsid w:val="00A606BB"/>
    <w:rsid w:val="00A66D2B"/>
    <w:rsid w:val="00A83981"/>
    <w:rsid w:val="00A870AD"/>
    <w:rsid w:val="00A90843"/>
    <w:rsid w:val="00A9134F"/>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142B"/>
    <w:rsid w:val="00B528DF"/>
    <w:rsid w:val="00B5757E"/>
    <w:rsid w:val="00B606BA"/>
    <w:rsid w:val="00B63D94"/>
    <w:rsid w:val="00B66817"/>
    <w:rsid w:val="00B71E3B"/>
    <w:rsid w:val="00B721D5"/>
    <w:rsid w:val="00B81CB5"/>
    <w:rsid w:val="00B8351F"/>
    <w:rsid w:val="00B86C44"/>
    <w:rsid w:val="00B9727C"/>
    <w:rsid w:val="00BA4C37"/>
    <w:rsid w:val="00BA610A"/>
    <w:rsid w:val="00BA7D44"/>
    <w:rsid w:val="00BD65ED"/>
    <w:rsid w:val="00BD6EF3"/>
    <w:rsid w:val="00BE69C3"/>
    <w:rsid w:val="00BF15AE"/>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0720"/>
    <w:rsid w:val="00D25120"/>
    <w:rsid w:val="00D419CB"/>
    <w:rsid w:val="00D44350"/>
    <w:rsid w:val="00D44E3F"/>
    <w:rsid w:val="00D525F5"/>
    <w:rsid w:val="00D535D0"/>
    <w:rsid w:val="00D62C78"/>
    <w:rsid w:val="00D81703"/>
    <w:rsid w:val="00D82929"/>
    <w:rsid w:val="00D84214"/>
    <w:rsid w:val="00D943E5"/>
    <w:rsid w:val="00DA1AE0"/>
    <w:rsid w:val="00DB672E"/>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EF3D21"/>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A4B2C56-C111-4CE5-B065-41326EEB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le-converted-space">
    <w:name w:val="apple-converted-space"/>
    <w:basedOn w:val="DefaultParagraphFont"/>
    <w:rsid w:val="003C7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R15-WRC15-C-0062!A25!MSW-A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43DCC-5B38-4145-B219-825B4B2FB6B6}">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32a1a8c5-2265-4ebc-b7a0-2071e2c5c9bb"/>
    <ds:schemaRef ds:uri="996b2e75-67fd-4955-a3b0-5ab9934cb50b"/>
    <ds:schemaRef ds:uri="http://purl.org/dc/elements/1.1/"/>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5706E7EC-C9BA-4A4C-BB14-331E7B93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862</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R15-WRC15-C-0062!A25!MSW-A</vt:lpstr>
    </vt:vector>
  </TitlesOfParts>
  <Manager>General Secretariat - Pool</Manager>
  <Company>International Telecommunication Union (ITU)</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R15-WRC15-C-0062!A25!MSW-A</dc:title>
  <dc:creator>Documents Proposals Manager (DPM)</dc:creator>
  <cp:keywords>DPM_v5.2015.10.230_prod</cp:keywords>
  <cp:lastModifiedBy>Al-Midani, Mohammad Haitham</cp:lastModifiedBy>
  <cp:revision>3</cp:revision>
  <cp:lastPrinted>2011-11-07T13:53:00Z</cp:lastPrinted>
  <dcterms:created xsi:type="dcterms:W3CDTF">2015-10-30T20:43:00Z</dcterms:created>
  <dcterms:modified xsi:type="dcterms:W3CDTF">2015-10-30T22:57:00Z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