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1186C">
        <w:trPr>
          <w:cantSplit/>
        </w:trPr>
        <w:tc>
          <w:tcPr>
            <w:tcW w:w="6911" w:type="dxa"/>
          </w:tcPr>
          <w:p w:rsidR="00A066F1" w:rsidRPr="00B1186C" w:rsidRDefault="00241FA2" w:rsidP="003B2284">
            <w:pPr>
              <w:spacing w:before="400" w:after="48" w:line="240" w:lineRule="atLeast"/>
              <w:rPr>
                <w:rFonts w:ascii="Verdana" w:hAnsi="Verdana"/>
                <w:position w:val="6"/>
              </w:rPr>
            </w:pPr>
            <w:r w:rsidRPr="00B1186C">
              <w:rPr>
                <w:rFonts w:ascii="Verdana" w:hAnsi="Verdana" w:cs="Times"/>
                <w:b/>
                <w:position w:val="6"/>
                <w:sz w:val="22"/>
                <w:szCs w:val="22"/>
              </w:rPr>
              <w:t>World Radiocommunication Conference (WRC-15)</w:t>
            </w:r>
            <w:r w:rsidRPr="00B1186C">
              <w:rPr>
                <w:rFonts w:ascii="Verdana" w:hAnsi="Verdana" w:cs="Times"/>
                <w:b/>
                <w:position w:val="6"/>
                <w:sz w:val="26"/>
                <w:szCs w:val="26"/>
              </w:rPr>
              <w:br/>
            </w:r>
            <w:r w:rsidRPr="00B1186C">
              <w:rPr>
                <w:rFonts w:ascii="Verdana" w:hAnsi="Verdana"/>
                <w:b/>
                <w:bCs/>
                <w:position w:val="6"/>
                <w:sz w:val="18"/>
                <w:szCs w:val="18"/>
              </w:rPr>
              <w:t>Geneva, 2–27 November 2015</w:t>
            </w:r>
          </w:p>
        </w:tc>
        <w:tc>
          <w:tcPr>
            <w:tcW w:w="3120" w:type="dxa"/>
          </w:tcPr>
          <w:p w:rsidR="00A066F1" w:rsidRPr="00B1186C" w:rsidRDefault="003B2284" w:rsidP="003B2284">
            <w:pPr>
              <w:spacing w:before="0" w:line="240" w:lineRule="atLeast"/>
              <w:jc w:val="right"/>
            </w:pPr>
            <w:bookmarkStart w:id="0" w:name="ditulogo"/>
            <w:bookmarkEnd w:id="0"/>
            <w:r w:rsidRPr="00B1186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1186C">
        <w:trPr>
          <w:cantSplit/>
        </w:trPr>
        <w:tc>
          <w:tcPr>
            <w:tcW w:w="6911" w:type="dxa"/>
            <w:tcBorders>
              <w:bottom w:val="single" w:sz="12" w:space="0" w:color="auto"/>
            </w:tcBorders>
          </w:tcPr>
          <w:p w:rsidR="00A066F1" w:rsidRPr="00B1186C" w:rsidRDefault="003B2284" w:rsidP="00A066F1">
            <w:pPr>
              <w:spacing w:before="0" w:after="48" w:line="240" w:lineRule="atLeast"/>
              <w:rPr>
                <w:rFonts w:ascii="Verdana" w:hAnsi="Verdana"/>
                <w:b/>
                <w:smallCaps/>
                <w:sz w:val="20"/>
              </w:rPr>
            </w:pPr>
            <w:bookmarkStart w:id="1" w:name="dhead"/>
            <w:r w:rsidRPr="00B1186C">
              <w:rPr>
                <w:rFonts w:ascii="Verdana" w:hAnsi="Verdana"/>
                <w:b/>
                <w:smallCaps/>
                <w:sz w:val="20"/>
              </w:rPr>
              <w:t>INTERNATIONAL TELECOMMUNICATION UNION</w:t>
            </w:r>
          </w:p>
        </w:tc>
        <w:tc>
          <w:tcPr>
            <w:tcW w:w="3120" w:type="dxa"/>
            <w:tcBorders>
              <w:bottom w:val="single" w:sz="12" w:space="0" w:color="auto"/>
            </w:tcBorders>
          </w:tcPr>
          <w:p w:rsidR="00A066F1" w:rsidRPr="00B1186C" w:rsidRDefault="00A066F1" w:rsidP="00A066F1">
            <w:pPr>
              <w:spacing w:before="0" w:line="240" w:lineRule="atLeast"/>
              <w:rPr>
                <w:rFonts w:ascii="Verdana" w:hAnsi="Verdana"/>
                <w:szCs w:val="24"/>
              </w:rPr>
            </w:pPr>
          </w:p>
        </w:tc>
      </w:tr>
      <w:tr w:rsidR="00A066F1" w:rsidRPr="00B1186C">
        <w:trPr>
          <w:cantSplit/>
        </w:trPr>
        <w:tc>
          <w:tcPr>
            <w:tcW w:w="6911" w:type="dxa"/>
            <w:tcBorders>
              <w:top w:val="single" w:sz="12" w:space="0" w:color="auto"/>
            </w:tcBorders>
          </w:tcPr>
          <w:p w:rsidR="00A066F1" w:rsidRPr="00B1186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1186C" w:rsidRDefault="00A066F1" w:rsidP="00A066F1">
            <w:pPr>
              <w:spacing w:before="0" w:line="240" w:lineRule="atLeast"/>
              <w:rPr>
                <w:rFonts w:ascii="Verdana" w:hAnsi="Verdana"/>
                <w:sz w:val="20"/>
              </w:rPr>
            </w:pPr>
          </w:p>
        </w:tc>
      </w:tr>
      <w:tr w:rsidR="00A066F1" w:rsidRPr="00B1186C">
        <w:trPr>
          <w:cantSplit/>
          <w:trHeight w:val="23"/>
        </w:trPr>
        <w:tc>
          <w:tcPr>
            <w:tcW w:w="6911" w:type="dxa"/>
            <w:shd w:val="clear" w:color="auto" w:fill="auto"/>
          </w:tcPr>
          <w:p w:rsidR="00A066F1" w:rsidRPr="00B1186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1186C">
              <w:rPr>
                <w:rFonts w:ascii="Verdana" w:hAnsi="Verdana"/>
                <w:sz w:val="20"/>
                <w:szCs w:val="20"/>
              </w:rPr>
              <w:t>PLENARY MEETING</w:t>
            </w:r>
          </w:p>
        </w:tc>
        <w:tc>
          <w:tcPr>
            <w:tcW w:w="3120" w:type="dxa"/>
            <w:shd w:val="clear" w:color="auto" w:fill="auto"/>
          </w:tcPr>
          <w:p w:rsidR="00A066F1" w:rsidRPr="00B1186C" w:rsidRDefault="00E55816" w:rsidP="00AA666F">
            <w:pPr>
              <w:tabs>
                <w:tab w:val="left" w:pos="851"/>
              </w:tabs>
              <w:spacing w:before="0" w:line="240" w:lineRule="atLeast"/>
              <w:rPr>
                <w:rFonts w:ascii="Verdana" w:hAnsi="Verdana"/>
                <w:sz w:val="20"/>
              </w:rPr>
            </w:pPr>
            <w:r w:rsidRPr="00B1186C">
              <w:rPr>
                <w:rFonts w:ascii="Verdana" w:eastAsia="SimSun" w:hAnsi="Verdana" w:cs="Traditional Arabic"/>
                <w:b/>
                <w:sz w:val="20"/>
              </w:rPr>
              <w:t>Addendum 5 to</w:t>
            </w:r>
            <w:r w:rsidRPr="00B1186C">
              <w:rPr>
                <w:rFonts w:ascii="Verdana" w:eastAsia="SimSun" w:hAnsi="Verdana" w:cs="Traditional Arabic"/>
                <w:b/>
                <w:sz w:val="20"/>
              </w:rPr>
              <w:br/>
              <w:t>Document 62</w:t>
            </w:r>
            <w:r w:rsidR="00A066F1" w:rsidRPr="00B1186C">
              <w:rPr>
                <w:rFonts w:ascii="Verdana" w:hAnsi="Verdana"/>
                <w:b/>
                <w:sz w:val="20"/>
              </w:rPr>
              <w:t>-</w:t>
            </w:r>
            <w:r w:rsidR="005E10C9" w:rsidRPr="00B1186C">
              <w:rPr>
                <w:rFonts w:ascii="Verdana" w:hAnsi="Verdana"/>
                <w:b/>
                <w:sz w:val="20"/>
              </w:rPr>
              <w:t>E</w:t>
            </w:r>
          </w:p>
        </w:tc>
      </w:tr>
      <w:tr w:rsidR="00A066F1" w:rsidRPr="00B1186C">
        <w:trPr>
          <w:cantSplit/>
          <w:trHeight w:val="23"/>
        </w:trPr>
        <w:tc>
          <w:tcPr>
            <w:tcW w:w="6911" w:type="dxa"/>
            <w:shd w:val="clear" w:color="auto" w:fill="auto"/>
          </w:tcPr>
          <w:p w:rsidR="00A066F1" w:rsidRPr="00B1186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1186C" w:rsidRDefault="00420873" w:rsidP="00A066F1">
            <w:pPr>
              <w:tabs>
                <w:tab w:val="left" w:pos="993"/>
              </w:tabs>
              <w:spacing w:before="0"/>
              <w:rPr>
                <w:rFonts w:ascii="Verdana" w:hAnsi="Verdana"/>
                <w:sz w:val="20"/>
              </w:rPr>
            </w:pPr>
            <w:r w:rsidRPr="00B1186C">
              <w:rPr>
                <w:rFonts w:ascii="Verdana" w:hAnsi="Verdana"/>
                <w:b/>
                <w:sz w:val="20"/>
              </w:rPr>
              <w:t>16 October 2015</w:t>
            </w:r>
          </w:p>
        </w:tc>
      </w:tr>
      <w:tr w:rsidR="00A066F1" w:rsidRPr="00B1186C">
        <w:trPr>
          <w:cantSplit/>
          <w:trHeight w:val="23"/>
        </w:trPr>
        <w:tc>
          <w:tcPr>
            <w:tcW w:w="6911" w:type="dxa"/>
            <w:shd w:val="clear" w:color="auto" w:fill="auto"/>
          </w:tcPr>
          <w:p w:rsidR="00A066F1" w:rsidRPr="00B1186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1186C" w:rsidRDefault="00E55816" w:rsidP="006F3061">
            <w:pPr>
              <w:tabs>
                <w:tab w:val="left" w:pos="993"/>
              </w:tabs>
              <w:spacing w:before="0"/>
              <w:rPr>
                <w:rFonts w:ascii="Verdana" w:hAnsi="Verdana"/>
                <w:b/>
                <w:sz w:val="20"/>
              </w:rPr>
            </w:pPr>
            <w:r w:rsidRPr="00B1186C">
              <w:rPr>
                <w:rFonts w:ascii="Verdana" w:hAnsi="Verdana"/>
                <w:b/>
                <w:sz w:val="20"/>
              </w:rPr>
              <w:t xml:space="preserve">Original: </w:t>
            </w:r>
            <w:r w:rsidR="006F3061" w:rsidRPr="00B1186C">
              <w:rPr>
                <w:rFonts w:ascii="Verdana" w:hAnsi="Verdana"/>
                <w:b/>
                <w:sz w:val="20"/>
              </w:rPr>
              <w:t>Chinese</w:t>
            </w:r>
          </w:p>
        </w:tc>
      </w:tr>
      <w:tr w:rsidR="00A066F1" w:rsidRPr="00B1186C" w:rsidTr="00025864">
        <w:trPr>
          <w:cantSplit/>
          <w:trHeight w:val="23"/>
        </w:trPr>
        <w:tc>
          <w:tcPr>
            <w:tcW w:w="10031" w:type="dxa"/>
            <w:gridSpan w:val="2"/>
            <w:shd w:val="clear" w:color="auto" w:fill="auto"/>
          </w:tcPr>
          <w:p w:rsidR="00A066F1" w:rsidRPr="00B1186C" w:rsidRDefault="00A066F1" w:rsidP="00A066F1">
            <w:pPr>
              <w:tabs>
                <w:tab w:val="left" w:pos="993"/>
              </w:tabs>
              <w:spacing w:before="0"/>
              <w:rPr>
                <w:rFonts w:ascii="Verdana" w:hAnsi="Verdana"/>
                <w:b/>
                <w:sz w:val="20"/>
              </w:rPr>
            </w:pPr>
          </w:p>
        </w:tc>
      </w:tr>
      <w:tr w:rsidR="00E55816" w:rsidRPr="00B1186C" w:rsidTr="00025864">
        <w:trPr>
          <w:cantSplit/>
          <w:trHeight w:val="23"/>
        </w:trPr>
        <w:tc>
          <w:tcPr>
            <w:tcW w:w="10031" w:type="dxa"/>
            <w:gridSpan w:val="2"/>
            <w:shd w:val="clear" w:color="auto" w:fill="auto"/>
          </w:tcPr>
          <w:p w:rsidR="00E55816" w:rsidRPr="00B1186C" w:rsidRDefault="00884D60" w:rsidP="00E55816">
            <w:pPr>
              <w:pStyle w:val="Source"/>
            </w:pPr>
            <w:r w:rsidRPr="00B1186C">
              <w:t>China (People's Republic of)</w:t>
            </w:r>
          </w:p>
        </w:tc>
      </w:tr>
      <w:tr w:rsidR="00E55816" w:rsidRPr="00B1186C" w:rsidTr="00025864">
        <w:trPr>
          <w:cantSplit/>
          <w:trHeight w:val="23"/>
        </w:trPr>
        <w:tc>
          <w:tcPr>
            <w:tcW w:w="10031" w:type="dxa"/>
            <w:gridSpan w:val="2"/>
            <w:shd w:val="clear" w:color="auto" w:fill="auto"/>
          </w:tcPr>
          <w:p w:rsidR="00E55816" w:rsidRPr="00B1186C" w:rsidRDefault="007D5320" w:rsidP="00E55816">
            <w:pPr>
              <w:pStyle w:val="Title1"/>
            </w:pPr>
            <w:r w:rsidRPr="00B1186C">
              <w:t>Proposals for the work of the conference</w:t>
            </w:r>
          </w:p>
        </w:tc>
      </w:tr>
      <w:tr w:rsidR="00E55816" w:rsidRPr="00B1186C" w:rsidTr="00025864">
        <w:trPr>
          <w:cantSplit/>
          <w:trHeight w:val="23"/>
        </w:trPr>
        <w:tc>
          <w:tcPr>
            <w:tcW w:w="10031" w:type="dxa"/>
            <w:gridSpan w:val="2"/>
            <w:shd w:val="clear" w:color="auto" w:fill="auto"/>
          </w:tcPr>
          <w:p w:rsidR="00E55816" w:rsidRPr="00B1186C" w:rsidRDefault="00E55816" w:rsidP="00E55816">
            <w:pPr>
              <w:pStyle w:val="Title2"/>
            </w:pPr>
          </w:p>
        </w:tc>
      </w:tr>
      <w:tr w:rsidR="00A538A6" w:rsidRPr="00B1186C" w:rsidTr="00025864">
        <w:trPr>
          <w:cantSplit/>
          <w:trHeight w:val="23"/>
        </w:trPr>
        <w:tc>
          <w:tcPr>
            <w:tcW w:w="10031" w:type="dxa"/>
            <w:gridSpan w:val="2"/>
            <w:shd w:val="clear" w:color="auto" w:fill="auto"/>
          </w:tcPr>
          <w:p w:rsidR="00A538A6" w:rsidRPr="00B1186C" w:rsidRDefault="004B13CB" w:rsidP="004B13CB">
            <w:pPr>
              <w:pStyle w:val="Agendaitem"/>
              <w:rPr>
                <w:lang w:val="en-GB"/>
              </w:rPr>
            </w:pPr>
            <w:r w:rsidRPr="00B1186C">
              <w:rPr>
                <w:lang w:val="en-GB"/>
              </w:rPr>
              <w:t>Agenda item 1.5</w:t>
            </w:r>
          </w:p>
        </w:tc>
      </w:tr>
    </w:tbl>
    <w:bookmarkEnd w:id="6"/>
    <w:bookmarkEnd w:id="7"/>
    <w:p w:rsidR="00FC5DFA" w:rsidRPr="00B1186C" w:rsidRDefault="00E93BA9" w:rsidP="001D7FEB">
      <w:pPr>
        <w:overflowPunct/>
        <w:autoSpaceDE/>
        <w:autoSpaceDN/>
        <w:adjustRightInd/>
        <w:textAlignment w:val="auto"/>
      </w:pPr>
      <w:r w:rsidRPr="00B1186C">
        <w:t>1.5</w:t>
      </w:r>
      <w:r w:rsidRPr="00B1186C">
        <w:tab/>
        <w:t>to consider the use of frequency bands allocated to the fixed-satellite service not subject to Appendices </w:t>
      </w:r>
      <w:r w:rsidRPr="00B1186C">
        <w:rPr>
          <w:b/>
          <w:bCs/>
        </w:rPr>
        <w:t>30</w:t>
      </w:r>
      <w:r w:rsidRPr="00B1186C">
        <w:t xml:space="preserve">, </w:t>
      </w:r>
      <w:r w:rsidRPr="00B1186C">
        <w:rPr>
          <w:b/>
          <w:bCs/>
        </w:rPr>
        <w:t>30A</w:t>
      </w:r>
      <w:r w:rsidRPr="00B1186C">
        <w:t xml:space="preserve"> and </w:t>
      </w:r>
      <w:r w:rsidRPr="00B1186C">
        <w:rPr>
          <w:b/>
          <w:bCs/>
        </w:rPr>
        <w:t>30B</w:t>
      </w:r>
      <w:r w:rsidRPr="00B1186C">
        <w:t xml:space="preserve"> for the control and non-payload communications of unmanned aircraft systems (UAS) in non-segregated airspaces, in accordance with Resolution </w:t>
      </w:r>
      <w:r w:rsidRPr="00B1186C">
        <w:rPr>
          <w:b/>
          <w:bCs/>
        </w:rPr>
        <w:t>153 (WRC</w:t>
      </w:r>
      <w:r w:rsidRPr="00B1186C">
        <w:rPr>
          <w:b/>
          <w:bCs/>
        </w:rPr>
        <w:noBreakHyphen/>
        <w:t>12)</w:t>
      </w:r>
      <w:r w:rsidRPr="00B1186C">
        <w:t>;</w:t>
      </w:r>
    </w:p>
    <w:p w:rsidR="00B1186C" w:rsidRPr="00B1186C" w:rsidRDefault="00B1186C" w:rsidP="001D7FEB">
      <w:pPr>
        <w:overflowPunct/>
        <w:autoSpaceDE/>
        <w:autoSpaceDN/>
        <w:adjustRightInd/>
        <w:textAlignment w:val="auto"/>
      </w:pPr>
    </w:p>
    <w:p w:rsidR="000C7F46" w:rsidRPr="00B1186C" w:rsidRDefault="000C7F46" w:rsidP="00B1186C">
      <w:pPr>
        <w:pStyle w:val="headingb0"/>
        <w:rPr>
          <w:lang w:val="en-GB"/>
        </w:rPr>
      </w:pPr>
      <w:bookmarkStart w:id="8" w:name="_Toc327956582"/>
      <w:r w:rsidRPr="00B1186C">
        <w:rPr>
          <w:lang w:val="en-GB"/>
        </w:rPr>
        <w:t>Introduction</w:t>
      </w:r>
    </w:p>
    <w:p w:rsidR="000C7F46" w:rsidRPr="00B1186C" w:rsidRDefault="008B7585" w:rsidP="00B1186C">
      <w:pPr>
        <w:rPr>
          <w:lang w:eastAsia="zh-CN"/>
        </w:rPr>
      </w:pPr>
      <w:r w:rsidRPr="00B1186C">
        <w:rPr>
          <w:lang w:eastAsia="zh-CN"/>
        </w:rPr>
        <w:t>As indicated i</w:t>
      </w:r>
      <w:r w:rsidR="000C7F46" w:rsidRPr="00B1186C">
        <w:rPr>
          <w:lang w:eastAsia="zh-CN"/>
        </w:rPr>
        <w:t>n</w:t>
      </w:r>
      <w:r w:rsidR="000C7F46" w:rsidRPr="00B1186C">
        <w:rPr>
          <w:lang w:eastAsia="ja-JP"/>
        </w:rPr>
        <w:t xml:space="preserve"> </w:t>
      </w:r>
      <w:r w:rsidRPr="00B1186C">
        <w:rPr>
          <w:lang w:eastAsia="ja-JP"/>
        </w:rPr>
        <w:t xml:space="preserve">section </w:t>
      </w:r>
      <w:r w:rsidRPr="00B1186C">
        <w:rPr>
          <w:lang w:eastAsia="zh-CN"/>
        </w:rPr>
        <w:t xml:space="preserve">3/1.5/4 “Analysis of the results of studies” of </w:t>
      </w:r>
      <w:r w:rsidR="000C7F46" w:rsidRPr="00B1186C">
        <w:rPr>
          <w:lang w:eastAsia="ja-JP"/>
        </w:rPr>
        <w:t xml:space="preserve">the CPM </w:t>
      </w:r>
      <w:r w:rsidR="0097665B" w:rsidRPr="00B1186C">
        <w:rPr>
          <w:lang w:eastAsia="zh-CN"/>
        </w:rPr>
        <w:t>R</w:t>
      </w:r>
      <w:r w:rsidR="000C7F46" w:rsidRPr="00B1186C">
        <w:rPr>
          <w:lang w:eastAsia="zh-CN"/>
        </w:rPr>
        <w:t>eport</w:t>
      </w:r>
      <w:r w:rsidR="000C7F46" w:rsidRPr="00B1186C">
        <w:rPr>
          <w:lang w:eastAsia="ja-JP"/>
        </w:rPr>
        <w:t xml:space="preserve"> </w:t>
      </w:r>
      <w:r w:rsidRPr="00B1186C">
        <w:rPr>
          <w:lang w:eastAsia="ja-JP"/>
        </w:rPr>
        <w:t xml:space="preserve">addressing </w:t>
      </w:r>
      <w:r w:rsidR="000C7F46" w:rsidRPr="00B1186C">
        <w:rPr>
          <w:lang w:eastAsia="ja-JP"/>
        </w:rPr>
        <w:t>this agenda item</w:t>
      </w:r>
      <w:r w:rsidR="000C7F46" w:rsidRPr="00B1186C">
        <w:rPr>
          <w:lang w:eastAsia="zh-CN"/>
        </w:rPr>
        <w:t>,</w:t>
      </w:r>
      <w:r w:rsidR="000C7F46" w:rsidRPr="00B1186C">
        <w:rPr>
          <w:lang w:eastAsia="ja-JP"/>
        </w:rPr>
        <w:t xml:space="preserve"> </w:t>
      </w:r>
      <w:r w:rsidRPr="00B1186C">
        <w:rPr>
          <w:lang w:eastAsia="ja-JP"/>
        </w:rPr>
        <w:t>no agree</w:t>
      </w:r>
      <w:r w:rsidR="00031C5B" w:rsidRPr="00B1186C">
        <w:rPr>
          <w:lang w:eastAsia="ja-JP"/>
        </w:rPr>
        <w:t>d texts</w:t>
      </w:r>
      <w:r w:rsidRPr="00B1186C">
        <w:rPr>
          <w:lang w:eastAsia="zh-CN"/>
        </w:rPr>
        <w:t xml:space="preserve"> </w:t>
      </w:r>
      <w:r w:rsidR="000C7F46" w:rsidRPr="00B1186C">
        <w:rPr>
          <w:lang w:eastAsia="ja-JP"/>
        </w:rPr>
        <w:t>ha</w:t>
      </w:r>
      <w:r w:rsidR="00031C5B" w:rsidRPr="00B1186C">
        <w:rPr>
          <w:lang w:eastAsia="ja-JP"/>
        </w:rPr>
        <w:t>ve</w:t>
      </w:r>
      <w:r w:rsidR="000C7F46" w:rsidRPr="00B1186C">
        <w:rPr>
          <w:lang w:eastAsia="ja-JP"/>
        </w:rPr>
        <w:t xml:space="preserve"> </w:t>
      </w:r>
      <w:r w:rsidRPr="00B1186C">
        <w:rPr>
          <w:lang w:eastAsia="ja-JP"/>
        </w:rPr>
        <w:t xml:space="preserve">been </w:t>
      </w:r>
      <w:r w:rsidR="00031C5B" w:rsidRPr="00B1186C">
        <w:rPr>
          <w:lang w:eastAsia="ja-JP"/>
        </w:rPr>
        <w:t>included. Instead,</w:t>
      </w:r>
      <w:r w:rsidR="000C7F46" w:rsidRPr="00B1186C">
        <w:rPr>
          <w:lang w:eastAsia="ja-JP"/>
        </w:rPr>
        <w:t xml:space="preserve"> three views coming from </w:t>
      </w:r>
      <w:r w:rsidR="00031C5B" w:rsidRPr="00B1186C">
        <w:rPr>
          <w:lang w:eastAsia="ja-JP"/>
        </w:rPr>
        <w:t>d</w:t>
      </w:r>
      <w:r w:rsidR="000C7F46" w:rsidRPr="00B1186C">
        <w:rPr>
          <w:lang w:eastAsia="ja-JP"/>
        </w:rPr>
        <w:t>ifferent p</w:t>
      </w:r>
      <w:r w:rsidR="00851660" w:rsidRPr="00B1186C">
        <w:rPr>
          <w:lang w:eastAsia="ja-JP"/>
        </w:rPr>
        <w:t>arties involv</w:t>
      </w:r>
      <w:r w:rsidR="00031C5B" w:rsidRPr="00B1186C">
        <w:rPr>
          <w:lang w:eastAsia="ja-JP"/>
        </w:rPr>
        <w:t>ed</w:t>
      </w:r>
      <w:r w:rsidR="00851660" w:rsidRPr="00B1186C">
        <w:rPr>
          <w:lang w:eastAsia="ja-JP"/>
        </w:rPr>
        <w:t xml:space="preserve"> in the studies</w:t>
      </w:r>
      <w:r w:rsidR="00031C5B" w:rsidRPr="00B1186C">
        <w:rPr>
          <w:lang w:eastAsia="ja-JP"/>
        </w:rPr>
        <w:t xml:space="preserve"> </w:t>
      </w:r>
      <w:r w:rsidR="00A01EB2" w:rsidRPr="00B1186C">
        <w:rPr>
          <w:lang w:eastAsia="ja-JP"/>
        </w:rPr>
        <w:t>are</w:t>
      </w:r>
      <w:r w:rsidR="00031C5B" w:rsidRPr="00B1186C">
        <w:rPr>
          <w:lang w:eastAsia="ja-JP"/>
        </w:rPr>
        <w:t xml:space="preserve"> presented</w:t>
      </w:r>
      <w:bookmarkStart w:id="9" w:name="_GoBack"/>
      <w:bookmarkEnd w:id="9"/>
      <w:r w:rsidR="00851660" w:rsidRPr="00B1186C">
        <w:rPr>
          <w:lang w:eastAsia="ja-JP"/>
        </w:rPr>
        <w:t>.</w:t>
      </w:r>
      <w:r w:rsidR="000C7F46" w:rsidRPr="00B1186C">
        <w:rPr>
          <w:lang w:eastAsia="ja-JP"/>
        </w:rPr>
        <w:t xml:space="preserve"> </w:t>
      </w:r>
      <w:r w:rsidR="00851660" w:rsidRPr="00B1186C">
        <w:rPr>
          <w:lang w:eastAsia="ja-JP"/>
        </w:rPr>
        <w:t>I</w:t>
      </w:r>
      <w:r w:rsidR="000C7F46" w:rsidRPr="00B1186C">
        <w:rPr>
          <w:lang w:eastAsia="ja-JP"/>
        </w:rPr>
        <w:t xml:space="preserve">t </w:t>
      </w:r>
      <w:r w:rsidR="00851660" w:rsidRPr="00B1186C">
        <w:rPr>
          <w:lang w:eastAsia="ja-JP"/>
        </w:rPr>
        <w:t xml:space="preserve">is </w:t>
      </w:r>
      <w:r w:rsidR="00031C5B" w:rsidRPr="00B1186C">
        <w:rPr>
          <w:lang w:eastAsia="ja-JP"/>
        </w:rPr>
        <w:t xml:space="preserve">consequently </w:t>
      </w:r>
      <w:r w:rsidR="000C7F46" w:rsidRPr="00B1186C">
        <w:rPr>
          <w:lang w:eastAsia="ja-JP"/>
        </w:rPr>
        <w:t xml:space="preserve">very difficult for administrations to develop their </w:t>
      </w:r>
      <w:r w:rsidR="00031C5B" w:rsidRPr="00B1186C">
        <w:rPr>
          <w:lang w:eastAsia="ja-JP"/>
        </w:rPr>
        <w:t>positions</w:t>
      </w:r>
      <w:r w:rsidR="000C7F46" w:rsidRPr="00B1186C">
        <w:rPr>
          <w:lang w:eastAsia="ja-JP"/>
        </w:rPr>
        <w:t xml:space="preserve"> on this agenda item based on the contradict</w:t>
      </w:r>
      <w:r w:rsidR="004B38FE" w:rsidRPr="00B1186C">
        <w:rPr>
          <w:lang w:eastAsia="ja-JP"/>
        </w:rPr>
        <w:t>ory</w:t>
      </w:r>
      <w:r w:rsidR="000C7F46" w:rsidRPr="00B1186C">
        <w:rPr>
          <w:lang w:eastAsia="ja-JP"/>
        </w:rPr>
        <w:t xml:space="preserve"> study results.</w:t>
      </w:r>
    </w:p>
    <w:p w:rsidR="000C7F46" w:rsidRPr="00B1186C" w:rsidRDefault="000C7F46" w:rsidP="00B1186C">
      <w:r w:rsidRPr="00B1186C">
        <w:rPr>
          <w:lang w:eastAsia="zh-CN"/>
        </w:rPr>
        <w:t>T</w:t>
      </w:r>
      <w:r w:rsidRPr="00B1186C">
        <w:t xml:space="preserve">wo Methods are provided </w:t>
      </w:r>
      <w:r w:rsidRPr="00B1186C">
        <w:rPr>
          <w:lang w:eastAsia="zh-CN"/>
        </w:rPr>
        <w:t>in</w:t>
      </w:r>
      <w:r w:rsidRPr="00B1186C">
        <w:t xml:space="preserve"> the CPM Report to satisfy the agenda item:</w:t>
      </w:r>
    </w:p>
    <w:p w:rsidR="000C7F46" w:rsidRPr="00B1186C" w:rsidRDefault="000C7F46" w:rsidP="00B1186C">
      <w:r w:rsidRPr="00B1186C">
        <w:t>Method A: Use of the fixed-satellite service</w:t>
      </w:r>
    </w:p>
    <w:p w:rsidR="000C7F46" w:rsidRPr="00B1186C" w:rsidRDefault="000C7F46" w:rsidP="00B1186C">
      <w:r w:rsidRPr="00B1186C">
        <w:t xml:space="preserve">To enable the use of the FSS for UAS CNPC applications operated in accordance with ICAO standards and procedures, through a footnote and associated </w:t>
      </w:r>
      <w:r w:rsidR="004B38FE" w:rsidRPr="00B1186C">
        <w:t>r</w:t>
      </w:r>
      <w:r w:rsidRPr="00B1186C">
        <w:t xml:space="preserve">esolution. The intention being that compliance with the </w:t>
      </w:r>
      <w:r w:rsidR="004B38FE" w:rsidRPr="00B1186C">
        <w:t>r</w:t>
      </w:r>
      <w:r w:rsidRPr="00B1186C">
        <w:t xml:space="preserve">esolution would ensure that all </w:t>
      </w:r>
      <w:r w:rsidR="004B38FE" w:rsidRPr="00B1186C">
        <w:t>required technical, operational</w:t>
      </w:r>
      <w:r w:rsidRPr="00B1186C">
        <w:t xml:space="preserve"> and regulatory conditions are met. This Method will permit FSS links supporting UAS CNPC to operate without adverse effects to existing and future FSS networks.</w:t>
      </w:r>
    </w:p>
    <w:p w:rsidR="000C7F46" w:rsidRPr="00B1186C" w:rsidRDefault="000C7F46" w:rsidP="00B1186C">
      <w:r w:rsidRPr="00B1186C">
        <w:t xml:space="preserve">The footnote would be applied </w:t>
      </w:r>
      <w:r w:rsidR="004B38FE" w:rsidRPr="00B1186C">
        <w:t xml:space="preserve">only </w:t>
      </w:r>
      <w:r w:rsidRPr="00B1186C">
        <w:t>to frequency bands allocated to the FSS not subject to RR Appendix 30, 30A or 30B in the frequency ranges 10.95-14.5 GHz, 17.8-20.2 GHz and 27.5</w:t>
      </w:r>
      <w:r w:rsidR="00941136" w:rsidRPr="00B1186C">
        <w:t>-</w:t>
      </w:r>
      <w:r w:rsidRPr="00B1186C">
        <w:t>30 GHz, as appropriate, for which studies have been conducted.</w:t>
      </w:r>
    </w:p>
    <w:p w:rsidR="000C7F46" w:rsidRPr="00B1186C" w:rsidRDefault="000C7F46" w:rsidP="00B1186C">
      <w:r w:rsidRPr="00B1186C">
        <w:t>Method B: No change to the Radio Regulations (NOC)</w:t>
      </w:r>
    </w:p>
    <w:p w:rsidR="000C7F46" w:rsidRPr="00B1186C" w:rsidRDefault="000C7F46" w:rsidP="00B1186C">
      <w:r w:rsidRPr="00B1186C">
        <w:t>There are considerable technical, operational and regulatory obstacles for the use of FSS for UAS CNPC links. Moreover, existing allocations for AMS(R)S as well as AMSS and MSS, under certain conditions</w:t>
      </w:r>
      <w:r w:rsidR="004B38FE" w:rsidRPr="00B1186C">
        <w:t>,</w:t>
      </w:r>
      <w:r w:rsidRPr="00B1186C">
        <w:t xml:space="preserve"> could satisfy the requirements for UAS CNPC in the frequency bands of these services.</w:t>
      </w:r>
    </w:p>
    <w:p w:rsidR="000C7F46" w:rsidRPr="00B1186C" w:rsidRDefault="000C7F46" w:rsidP="00B1186C">
      <w:pPr>
        <w:rPr>
          <w:lang w:eastAsia="zh-CN"/>
        </w:rPr>
      </w:pPr>
      <w:r w:rsidRPr="00B1186C">
        <w:rPr>
          <w:lang w:eastAsia="ja-JP"/>
        </w:rPr>
        <w:t xml:space="preserve">At the </w:t>
      </w:r>
      <w:r w:rsidRPr="00B1186C">
        <w:rPr>
          <w:lang w:eastAsia="zh-CN"/>
        </w:rPr>
        <w:t>final</w:t>
      </w:r>
      <w:r w:rsidRPr="00B1186C">
        <w:rPr>
          <w:lang w:eastAsia="ja-JP"/>
        </w:rPr>
        <w:t xml:space="preserve"> meeting of ITU-R WP5B </w:t>
      </w:r>
      <w:r w:rsidRPr="00B1186C" w:rsidDel="00B73F3A">
        <w:rPr>
          <w:lang w:eastAsia="ja-JP"/>
        </w:rPr>
        <w:t>in this study cycle</w:t>
      </w:r>
      <w:r w:rsidRPr="00B1186C">
        <w:rPr>
          <w:lang w:eastAsia="ja-JP"/>
        </w:rPr>
        <w:t xml:space="preserve"> in July 2015, the technical report ITU-R M.[UAS-FSS], addressing various aspects of frequency band</w:t>
      </w:r>
      <w:r w:rsidR="00941136" w:rsidRPr="00B1186C">
        <w:rPr>
          <w:lang w:eastAsia="ja-JP"/>
        </w:rPr>
        <w:t>s</w:t>
      </w:r>
      <w:r w:rsidRPr="00B1186C">
        <w:rPr>
          <w:lang w:eastAsia="ja-JP"/>
        </w:rPr>
        <w:t xml:space="preserve"> allocated to FSS for UAS control and </w:t>
      </w:r>
      <w:r w:rsidRPr="00B1186C">
        <w:rPr>
          <w:lang w:eastAsia="ja-JP"/>
        </w:rPr>
        <w:lastRenderedPageBreak/>
        <w:t>non-payload communications links, ha</w:t>
      </w:r>
      <w:r w:rsidR="004B38FE" w:rsidRPr="00B1186C">
        <w:rPr>
          <w:lang w:eastAsia="ja-JP"/>
        </w:rPr>
        <w:t>d</w:t>
      </w:r>
      <w:r w:rsidRPr="00B1186C">
        <w:rPr>
          <w:lang w:eastAsia="ja-JP"/>
        </w:rPr>
        <w:t xml:space="preserve"> not been </w:t>
      </w:r>
      <w:r w:rsidRPr="00B1186C">
        <w:rPr>
          <w:lang w:eastAsia="zh-CN"/>
        </w:rPr>
        <w:t>finalized</w:t>
      </w:r>
      <w:r w:rsidRPr="00B1186C">
        <w:rPr>
          <w:lang w:eastAsia="ja-JP"/>
        </w:rPr>
        <w:t xml:space="preserve"> and is still in working document status. Some crucial issues such as protection criteria for the UAS, sharing conditions with incumbent services</w:t>
      </w:r>
      <w:r w:rsidRPr="00B1186C" w:rsidDel="00B73F3A">
        <w:rPr>
          <w:lang w:eastAsia="ja-JP"/>
        </w:rPr>
        <w:t xml:space="preserve"> (including the other applications of the FSS)</w:t>
      </w:r>
      <w:r w:rsidRPr="00B1186C">
        <w:rPr>
          <w:lang w:eastAsia="ja-JP"/>
        </w:rPr>
        <w:t>, technical and operational measures ensuring the safety requirements of UAS, etc., have not been fully addressed.</w:t>
      </w:r>
    </w:p>
    <w:p w:rsidR="000C7F46" w:rsidRPr="00B1186C" w:rsidRDefault="000C7F46" w:rsidP="00B1186C">
      <w:pPr>
        <w:pStyle w:val="headingb0"/>
        <w:rPr>
          <w:lang w:val="en-GB" w:eastAsia="zh-CN"/>
        </w:rPr>
      </w:pPr>
      <w:r w:rsidRPr="00B1186C">
        <w:rPr>
          <w:lang w:val="en-GB" w:eastAsia="zh-CN"/>
        </w:rPr>
        <w:t>Views</w:t>
      </w:r>
    </w:p>
    <w:p w:rsidR="000C7F46" w:rsidRPr="00B1186C" w:rsidRDefault="000C7F46" w:rsidP="00B1186C">
      <w:pPr>
        <w:pStyle w:val="enumlev1"/>
        <w:rPr>
          <w:rFonts w:eastAsia="SimSun" w:cs="Angsana New"/>
          <w:szCs w:val="24"/>
          <w:lang w:eastAsia="zh-CN"/>
        </w:rPr>
      </w:pPr>
      <w:r w:rsidRPr="00B1186C">
        <w:rPr>
          <w:rFonts w:eastAsia="Times New Roman" w:cs="Angsana New"/>
          <w:szCs w:val="24"/>
          <w:lang w:eastAsia="zh-CN"/>
        </w:rPr>
        <w:t xml:space="preserve">1) </w:t>
      </w:r>
      <w:r w:rsidR="00B1186C" w:rsidRPr="00B1186C">
        <w:rPr>
          <w:rFonts w:eastAsia="Times New Roman" w:cs="Angsana New"/>
          <w:szCs w:val="24"/>
          <w:lang w:eastAsia="zh-CN"/>
        </w:rPr>
        <w:tab/>
      </w:r>
      <w:r w:rsidRPr="00B1186C">
        <w:rPr>
          <w:rFonts w:cs="Angsana New"/>
          <w:szCs w:val="24"/>
          <w:lang w:eastAsia="zh-CN"/>
        </w:rPr>
        <w:t xml:space="preserve">Considering the future development of </w:t>
      </w:r>
      <w:r w:rsidRPr="00B1186C">
        <w:t>unmanned aircraft systems</w:t>
      </w:r>
      <w:r w:rsidRPr="00B1186C">
        <w:rPr>
          <w:lang w:eastAsia="zh-CN"/>
        </w:rPr>
        <w:t xml:space="preserve"> and the associated spectrum requirements for the </w:t>
      </w:r>
      <w:r w:rsidRPr="00B1186C">
        <w:rPr>
          <w:rFonts w:eastAsia="MS Mincho"/>
          <w:lang w:eastAsia="ja-JP"/>
        </w:rPr>
        <w:t>UAS CNPC links</w:t>
      </w:r>
      <w:r w:rsidRPr="00B1186C">
        <w:rPr>
          <w:lang w:eastAsia="zh-CN"/>
        </w:rPr>
        <w:t>,</w:t>
      </w:r>
      <w:r w:rsidRPr="00B1186C">
        <w:t xml:space="preserve"> </w:t>
      </w:r>
      <w:r w:rsidRPr="00B1186C">
        <w:rPr>
          <w:rFonts w:eastAsia="SimSun" w:cs="Angsana New"/>
          <w:szCs w:val="24"/>
          <w:lang w:eastAsia="zh-CN"/>
        </w:rPr>
        <w:t>China supports ITU-R studies relating to technical</w:t>
      </w:r>
      <w:r w:rsidRPr="00B1186C">
        <w:t xml:space="preserve">, regulatory and operational </w:t>
      </w:r>
      <w:r w:rsidRPr="00B1186C">
        <w:rPr>
          <w:lang w:eastAsia="zh-CN"/>
        </w:rPr>
        <w:t>measures</w:t>
      </w:r>
      <w:r w:rsidRPr="00B1186C">
        <w:t xml:space="preserve"> to enabl</w:t>
      </w:r>
      <w:r w:rsidRPr="00B1186C">
        <w:rPr>
          <w:lang w:eastAsia="zh-CN"/>
        </w:rPr>
        <w:t xml:space="preserve">e </w:t>
      </w:r>
      <w:r w:rsidRPr="00B1186C">
        <w:t xml:space="preserve">the </w:t>
      </w:r>
      <w:r w:rsidR="00164D2A" w:rsidRPr="00B1186C">
        <w:t>use</w:t>
      </w:r>
      <w:r w:rsidRPr="00B1186C">
        <w:t xml:space="preserve"> of frequency bands allocated to </w:t>
      </w:r>
      <w:r w:rsidRPr="00B1186C">
        <w:rPr>
          <w:lang w:eastAsia="zh-CN"/>
        </w:rPr>
        <w:t>FSS</w:t>
      </w:r>
      <w:r w:rsidRPr="00B1186C">
        <w:t xml:space="preserve"> not subject to Appendices 30, 30A and 30B for the </w:t>
      </w:r>
      <w:r w:rsidRPr="00B1186C">
        <w:rPr>
          <w:lang w:eastAsia="zh-CN"/>
        </w:rPr>
        <w:t xml:space="preserve">UAS </w:t>
      </w:r>
      <w:r w:rsidRPr="00B1186C">
        <w:t>CNPC links in non-segregated airspaces</w:t>
      </w:r>
      <w:r w:rsidRPr="00B1186C">
        <w:rPr>
          <w:lang w:eastAsia="zh-CN"/>
        </w:rPr>
        <w:t>.</w:t>
      </w:r>
      <w:r w:rsidRPr="00B1186C">
        <w:rPr>
          <w:rFonts w:eastAsia="SimSun" w:cs="Angsana New"/>
          <w:szCs w:val="24"/>
          <w:lang w:eastAsia="zh-CN"/>
        </w:rPr>
        <w:t xml:space="preserve"> </w:t>
      </w:r>
    </w:p>
    <w:p w:rsidR="000C7F46" w:rsidRPr="00B1186C" w:rsidRDefault="000C7F46" w:rsidP="00B1186C">
      <w:pPr>
        <w:pStyle w:val="enumlev1"/>
        <w:rPr>
          <w:rFonts w:eastAsia="MS Mincho"/>
          <w:lang w:eastAsia="ja-JP"/>
        </w:rPr>
      </w:pPr>
      <w:r w:rsidRPr="00B1186C">
        <w:rPr>
          <w:lang w:eastAsia="zh-CN"/>
        </w:rPr>
        <w:t xml:space="preserve">2) </w:t>
      </w:r>
      <w:r w:rsidR="00B1186C" w:rsidRPr="00B1186C">
        <w:rPr>
          <w:lang w:eastAsia="zh-CN"/>
        </w:rPr>
        <w:tab/>
      </w:r>
      <w:r w:rsidRPr="00B1186C">
        <w:rPr>
          <w:rFonts w:eastAsia="MS Mincho"/>
          <w:lang w:eastAsia="ja-JP"/>
        </w:rPr>
        <w:t xml:space="preserve">China </w:t>
      </w:r>
      <w:r w:rsidRPr="00B1186C">
        <w:rPr>
          <w:lang w:eastAsia="zh-CN"/>
        </w:rPr>
        <w:t>is of the view that</w:t>
      </w:r>
      <w:r w:rsidRPr="00B1186C">
        <w:rPr>
          <w:rFonts w:eastAsia="MS Mincho"/>
          <w:lang w:eastAsia="ja-JP"/>
        </w:rPr>
        <w:t xml:space="preserve"> the </w:t>
      </w:r>
      <w:r w:rsidR="00164D2A" w:rsidRPr="00B1186C">
        <w:rPr>
          <w:rFonts w:eastAsia="MS Mincho"/>
          <w:lang w:eastAsia="ja-JP"/>
        </w:rPr>
        <w:t>use</w:t>
      </w:r>
      <w:r w:rsidRPr="00B1186C">
        <w:rPr>
          <w:rFonts w:eastAsia="MS Mincho"/>
          <w:lang w:eastAsia="ja-JP"/>
        </w:rPr>
        <w:t xml:space="preserve"> of frequency bands allocated to </w:t>
      </w:r>
      <w:r w:rsidR="00877F7F" w:rsidRPr="00B1186C">
        <w:rPr>
          <w:rFonts w:eastAsia="MS Mincho"/>
          <w:lang w:eastAsia="ja-JP"/>
        </w:rPr>
        <w:t>FSS</w:t>
      </w:r>
      <w:r w:rsidRPr="00B1186C">
        <w:rPr>
          <w:rFonts w:eastAsia="MS Mincho"/>
          <w:lang w:eastAsia="ja-JP"/>
        </w:rPr>
        <w:t xml:space="preserve"> not subject to Appendices 30, 30A and 30B for the </w:t>
      </w:r>
      <w:r w:rsidRPr="00B1186C">
        <w:rPr>
          <w:rFonts w:eastAsia="SimSun"/>
          <w:lang w:eastAsia="zh-CN"/>
        </w:rPr>
        <w:t xml:space="preserve">UAS </w:t>
      </w:r>
      <w:r w:rsidRPr="00B1186C">
        <w:rPr>
          <w:rFonts w:eastAsia="MS Mincho"/>
          <w:lang w:eastAsia="ja-JP"/>
        </w:rPr>
        <w:t xml:space="preserve">CNPC links </w:t>
      </w:r>
      <w:r w:rsidRPr="00B1186C">
        <w:rPr>
          <w:rFonts w:eastAsia="SimSun"/>
          <w:lang w:eastAsia="zh-CN"/>
        </w:rPr>
        <w:t>in non-segregated airspaces should ensure t</w:t>
      </w:r>
      <w:r w:rsidRPr="00B1186C">
        <w:rPr>
          <w:rFonts w:eastAsia="MS Mincho"/>
          <w:lang w:eastAsia="ja-JP"/>
        </w:rPr>
        <w:t xml:space="preserve">he safety requirements of </w:t>
      </w:r>
      <w:r w:rsidRPr="00B1186C">
        <w:rPr>
          <w:lang w:eastAsia="zh-CN"/>
        </w:rPr>
        <w:t xml:space="preserve">UAS and </w:t>
      </w:r>
      <w:r w:rsidRPr="00B1186C">
        <w:rPr>
          <w:rFonts w:eastAsia="MS Mincho"/>
          <w:lang w:eastAsia="ja-JP"/>
        </w:rPr>
        <w:t>not impose an</w:t>
      </w:r>
      <w:r w:rsidRPr="00B1186C">
        <w:rPr>
          <w:rFonts w:eastAsia="SimSun"/>
          <w:lang w:eastAsia="zh-CN"/>
        </w:rPr>
        <w:t>y</w:t>
      </w:r>
      <w:r w:rsidRPr="00B1186C">
        <w:rPr>
          <w:rFonts w:eastAsia="MS Mincho"/>
          <w:lang w:eastAsia="ja-JP"/>
        </w:rPr>
        <w:t xml:space="preserve"> adverse impact on existing and future satellite networks of the FSS and other services in the same band.</w:t>
      </w:r>
    </w:p>
    <w:p w:rsidR="00E93BA9" w:rsidRPr="00B1186C" w:rsidRDefault="00E93BA9" w:rsidP="00E93BA9">
      <w:pPr>
        <w:spacing w:beforeLines="50" w:afterLines="50" w:after="120"/>
        <w:jc w:val="both"/>
        <w:rPr>
          <w:lang w:eastAsia="ja-JP"/>
        </w:rPr>
      </w:pPr>
    </w:p>
    <w:bookmarkEnd w:id="8"/>
    <w:p w:rsidR="00E93BA9" w:rsidRPr="00B1186C" w:rsidRDefault="00E93BA9" w:rsidP="0032202E">
      <w:pPr>
        <w:pStyle w:val="Reasons"/>
        <w:rPr>
          <w:lang w:eastAsia="zh-CN"/>
        </w:rPr>
      </w:pPr>
    </w:p>
    <w:p w:rsidR="00B1186C" w:rsidRPr="00B1186C" w:rsidRDefault="00B1186C" w:rsidP="0032202E">
      <w:pPr>
        <w:pStyle w:val="Reasons"/>
      </w:pPr>
    </w:p>
    <w:p w:rsidR="00B1186C" w:rsidRPr="00B1186C" w:rsidRDefault="00B1186C">
      <w:pPr>
        <w:jc w:val="center"/>
      </w:pPr>
      <w:r w:rsidRPr="00B1186C">
        <w:t>______________</w:t>
      </w:r>
    </w:p>
    <w:sectPr w:rsidR="00B1186C" w:rsidRPr="00B1186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A53CA">
      <w:rPr>
        <w:noProof/>
        <w:lang w:val="en-US"/>
      </w:rPr>
      <w:t>P:\TRAD\C\ITU-R\CONF-R\CMR15\000\062ADD05E.docx</w:t>
    </w:r>
    <w:r>
      <w:fldChar w:fldCharType="end"/>
    </w:r>
    <w:r w:rsidRPr="0041348E">
      <w:rPr>
        <w:lang w:val="en-US"/>
      </w:rPr>
      <w:tab/>
    </w:r>
    <w:r>
      <w:fldChar w:fldCharType="begin"/>
    </w:r>
    <w:r>
      <w:instrText xml:space="preserve"> SAVEDATE \@ DD.MM.YY </w:instrText>
    </w:r>
    <w:r>
      <w:fldChar w:fldCharType="separate"/>
    </w:r>
    <w:r w:rsidR="00B8058B">
      <w:rPr>
        <w:noProof/>
      </w:rPr>
      <w:t>23.10.15</w:t>
    </w:r>
    <w:r>
      <w:fldChar w:fldCharType="end"/>
    </w:r>
    <w:r w:rsidRPr="0041348E">
      <w:rPr>
        <w:lang w:val="en-US"/>
      </w:rPr>
      <w:tab/>
    </w:r>
    <w:r>
      <w:fldChar w:fldCharType="begin"/>
    </w:r>
    <w:r>
      <w:instrText xml:space="preserve"> PRINTDATE \@ DD.MM.YY </w:instrText>
    </w:r>
    <w:r>
      <w:fldChar w:fldCharType="separate"/>
    </w:r>
    <w:r w:rsidR="00EA53CA">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1186C">
      <w:rPr>
        <w:lang w:val="en-US"/>
      </w:rPr>
      <w:t>P:\ENG\ITU-R\CONF-R\CMR15\000\062ADD05E.docx</w:t>
    </w:r>
    <w:r>
      <w:fldChar w:fldCharType="end"/>
    </w:r>
    <w:r w:rsidR="00E93BA9">
      <w:t xml:space="preserve"> (388482)</w:t>
    </w:r>
    <w:r w:rsidRPr="0041348E">
      <w:rPr>
        <w:lang w:val="en-US"/>
      </w:rPr>
      <w:tab/>
    </w:r>
    <w:r>
      <w:fldChar w:fldCharType="begin"/>
    </w:r>
    <w:r>
      <w:instrText xml:space="preserve"> SAVEDATE \@ DD.MM.YY </w:instrText>
    </w:r>
    <w:r>
      <w:fldChar w:fldCharType="separate"/>
    </w:r>
    <w:r w:rsidR="00B1186C">
      <w:t>24.10.15</w:t>
    </w:r>
    <w:r>
      <w:fldChar w:fldCharType="end"/>
    </w:r>
    <w:r w:rsidRPr="0041348E">
      <w:rPr>
        <w:lang w:val="en-US"/>
      </w:rPr>
      <w:tab/>
    </w:r>
    <w:r>
      <w:fldChar w:fldCharType="begin"/>
    </w:r>
    <w:r>
      <w:instrText xml:space="preserve"> PRINTDATE \@ DD.MM.YY </w:instrText>
    </w:r>
    <w:r>
      <w:fldChar w:fldCharType="separate"/>
    </w:r>
    <w:r w:rsidR="00B1186C">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1186C">
      <w:rPr>
        <w:lang w:val="en-US"/>
      </w:rPr>
      <w:t>P:\ENG\ITU-R\CONF-R\CMR15\000\062ADD05E.docx</w:t>
    </w:r>
    <w:r>
      <w:fldChar w:fldCharType="end"/>
    </w:r>
    <w:r w:rsidR="00E93BA9">
      <w:t xml:space="preserve"> </w:t>
    </w:r>
    <w:r w:rsidR="00E93BA9">
      <w:rPr>
        <w:rFonts w:hint="eastAsia"/>
        <w:lang w:eastAsia="zh-CN"/>
      </w:rPr>
      <w:t>(</w:t>
    </w:r>
    <w:r w:rsidR="00E93BA9">
      <w:rPr>
        <w:lang w:eastAsia="zh-CN"/>
      </w:rPr>
      <w:t>388482</w:t>
    </w:r>
    <w:r w:rsidR="00E93BA9">
      <w:rPr>
        <w:rFonts w:hint="eastAsia"/>
        <w:lang w:eastAsia="zh-CN"/>
      </w:rPr>
      <w:t>)</w:t>
    </w:r>
    <w:r w:rsidRPr="0041348E">
      <w:rPr>
        <w:lang w:val="en-US"/>
      </w:rPr>
      <w:tab/>
    </w:r>
    <w:r>
      <w:fldChar w:fldCharType="begin"/>
    </w:r>
    <w:r>
      <w:instrText xml:space="preserve"> SAVEDATE \@ DD.MM.YY </w:instrText>
    </w:r>
    <w:r>
      <w:fldChar w:fldCharType="separate"/>
    </w:r>
    <w:r w:rsidR="00B1186C">
      <w:t>24.10.15</w:t>
    </w:r>
    <w:r>
      <w:fldChar w:fldCharType="end"/>
    </w:r>
    <w:r w:rsidRPr="0041348E">
      <w:rPr>
        <w:lang w:val="en-US"/>
      </w:rPr>
      <w:tab/>
    </w:r>
    <w:r>
      <w:fldChar w:fldCharType="begin"/>
    </w:r>
    <w:r>
      <w:instrText xml:space="preserve"> PRINTDATE \@ DD.MM.YY </w:instrText>
    </w:r>
    <w:r>
      <w:fldChar w:fldCharType="separate"/>
    </w:r>
    <w:r w:rsidR="00B1186C">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1186C">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62(Add.5)</w:t>
    </w:r>
    <w:bookmarkEnd w:id="10"/>
    <w:bookmarkEnd w:id="11"/>
    <w:bookmarkEnd w:id="1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1C5B"/>
    <w:rsid w:val="000355FD"/>
    <w:rsid w:val="00051E39"/>
    <w:rsid w:val="000705F2"/>
    <w:rsid w:val="00077239"/>
    <w:rsid w:val="00086491"/>
    <w:rsid w:val="00091346"/>
    <w:rsid w:val="0009706C"/>
    <w:rsid w:val="000C7F46"/>
    <w:rsid w:val="000D154B"/>
    <w:rsid w:val="000F73FF"/>
    <w:rsid w:val="00114CF7"/>
    <w:rsid w:val="00123B68"/>
    <w:rsid w:val="00126F2E"/>
    <w:rsid w:val="00146F6F"/>
    <w:rsid w:val="00164D2A"/>
    <w:rsid w:val="00187BD9"/>
    <w:rsid w:val="00190B55"/>
    <w:rsid w:val="00195964"/>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38FE"/>
    <w:rsid w:val="004D26EA"/>
    <w:rsid w:val="004D2BFB"/>
    <w:rsid w:val="004D5D5C"/>
    <w:rsid w:val="0050139F"/>
    <w:rsid w:val="00541355"/>
    <w:rsid w:val="0055140B"/>
    <w:rsid w:val="00556917"/>
    <w:rsid w:val="005964AB"/>
    <w:rsid w:val="005B107E"/>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3061"/>
    <w:rsid w:val="007149F9"/>
    <w:rsid w:val="00733A30"/>
    <w:rsid w:val="00745AEE"/>
    <w:rsid w:val="00750F10"/>
    <w:rsid w:val="007742CA"/>
    <w:rsid w:val="00790D70"/>
    <w:rsid w:val="007A6F1F"/>
    <w:rsid w:val="007D5320"/>
    <w:rsid w:val="00800972"/>
    <w:rsid w:val="00804475"/>
    <w:rsid w:val="00811633"/>
    <w:rsid w:val="00836CB7"/>
    <w:rsid w:val="00841216"/>
    <w:rsid w:val="00851660"/>
    <w:rsid w:val="00872FC8"/>
    <w:rsid w:val="00877F7F"/>
    <w:rsid w:val="008845D0"/>
    <w:rsid w:val="00884D60"/>
    <w:rsid w:val="008B43F2"/>
    <w:rsid w:val="008B6CFF"/>
    <w:rsid w:val="008B7585"/>
    <w:rsid w:val="009274B4"/>
    <w:rsid w:val="00934EA2"/>
    <w:rsid w:val="00941136"/>
    <w:rsid w:val="00944A5C"/>
    <w:rsid w:val="00952A66"/>
    <w:rsid w:val="0097665B"/>
    <w:rsid w:val="009B7C9A"/>
    <w:rsid w:val="009C56E5"/>
    <w:rsid w:val="009E5FC8"/>
    <w:rsid w:val="009E687A"/>
    <w:rsid w:val="00A01EB2"/>
    <w:rsid w:val="00A066F1"/>
    <w:rsid w:val="00A141AF"/>
    <w:rsid w:val="00A16D29"/>
    <w:rsid w:val="00A30305"/>
    <w:rsid w:val="00A31D2D"/>
    <w:rsid w:val="00A4600A"/>
    <w:rsid w:val="00A538A6"/>
    <w:rsid w:val="00A54C25"/>
    <w:rsid w:val="00A710E7"/>
    <w:rsid w:val="00A7372E"/>
    <w:rsid w:val="00A7740C"/>
    <w:rsid w:val="00A93B85"/>
    <w:rsid w:val="00AA0B18"/>
    <w:rsid w:val="00AA3C65"/>
    <w:rsid w:val="00AA666F"/>
    <w:rsid w:val="00AE20F2"/>
    <w:rsid w:val="00B1186C"/>
    <w:rsid w:val="00B639E9"/>
    <w:rsid w:val="00B8058B"/>
    <w:rsid w:val="00B817CD"/>
    <w:rsid w:val="00B81A7D"/>
    <w:rsid w:val="00B94AD0"/>
    <w:rsid w:val="00BB3A95"/>
    <w:rsid w:val="00BD6CCE"/>
    <w:rsid w:val="00C0018F"/>
    <w:rsid w:val="00C16A5A"/>
    <w:rsid w:val="00C20466"/>
    <w:rsid w:val="00C214ED"/>
    <w:rsid w:val="00C234E6"/>
    <w:rsid w:val="00C324A8"/>
    <w:rsid w:val="00C532D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3BA9"/>
    <w:rsid w:val="00E976C1"/>
    <w:rsid w:val="00EA12E5"/>
    <w:rsid w:val="00EA53CA"/>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99E6D25-CE80-4213-ABB1-641E5889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headingb0">
    <w:name w:val="heading_b"/>
    <w:basedOn w:val="Heading3"/>
    <w:next w:val="Normal"/>
    <w:rsid w:val="000C7F46"/>
    <w:pPr>
      <w:tabs>
        <w:tab w:val="left" w:pos="567"/>
        <w:tab w:val="left" w:pos="1701"/>
        <w:tab w:val="left" w:pos="2835"/>
      </w:tabs>
      <w:spacing w:before="160"/>
      <w:ind w:left="0" w:firstLine="0"/>
      <w:textAlignment w:val="auto"/>
      <w:outlineLvl w:val="9"/>
    </w:pPr>
    <w:rPr>
      <w:bCs/>
      <w:lang w:val="fr-FR"/>
    </w:rPr>
  </w:style>
  <w:style w:type="paragraph" w:styleId="BodyText">
    <w:name w:val="Body Text"/>
    <w:basedOn w:val="Normal"/>
    <w:link w:val="BodyTextChar"/>
    <w:rsid w:val="000C7F46"/>
    <w:pPr>
      <w:widowControl w:val="0"/>
      <w:tabs>
        <w:tab w:val="clear" w:pos="1134"/>
        <w:tab w:val="clear" w:pos="1871"/>
        <w:tab w:val="clear" w:pos="2268"/>
      </w:tabs>
      <w:wordWrap w:val="0"/>
      <w:overflowPunct/>
      <w:autoSpaceDE/>
      <w:autoSpaceDN/>
      <w:adjustRightInd/>
      <w:spacing w:before="0"/>
      <w:jc w:val="both"/>
      <w:textAlignment w:val="auto"/>
    </w:pPr>
    <w:rPr>
      <w:rFonts w:eastAsia="BatangChe"/>
      <w:kern w:val="2"/>
      <w:lang w:val="en-US" w:eastAsia="ko-KR"/>
    </w:rPr>
  </w:style>
  <w:style w:type="character" w:customStyle="1" w:styleId="BodyTextChar">
    <w:name w:val="Body Text Char"/>
    <w:basedOn w:val="DefaultParagraphFont"/>
    <w:link w:val="BodyText"/>
    <w:rsid w:val="000C7F46"/>
    <w:rPr>
      <w:rFonts w:ascii="Times New Roman" w:eastAsia="BatangChe" w:hAnsi="Times New Roman"/>
      <w:kern w:val="2"/>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02EDA-F446-482A-9DAD-DEDD9544446E}">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32a1a8c5-2265-4ebc-b7a0-2071e2c5c9bb"/>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16BC37A7-817A-4484-B160-C09A6525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521</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R15-WRC15-C-0062!A5!MSW-E</vt:lpstr>
    </vt:vector>
  </TitlesOfParts>
  <Manager>General Secretariat - Pool</Manager>
  <Company>International Telecommunication Union (ITU)</Company>
  <LinksUpToDate>false</LinksUpToDate>
  <CharactersWithSpaces>3383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R15-WRC15-C-0062!A5!MSW-E</dc:title>
  <dc:subject>World Radiocommunication Conference - 2015</dc:subject>
  <dc:creator>Documents Proposals Manager (DPM)</dc:creator>
  <cp:keywords>DPM_v5.2015.10.15_prod</cp:keywords>
  <dc:description>Uploaded on 2015.07.06</dc:description>
  <cp:lastModifiedBy>Turnbull, Karen</cp:lastModifiedBy>
  <cp:revision>4</cp:revision>
  <cp:lastPrinted>2015-10-23T09:49:00Z</cp:lastPrinted>
  <dcterms:created xsi:type="dcterms:W3CDTF">2015-10-24T14:36:00Z</dcterms:created>
  <dcterms:modified xsi:type="dcterms:W3CDTF">2015-10-24T14:40:00Z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