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B89E093" wp14:editId="1379194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7D3564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7D3564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D3564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7D3564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D3564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D3564">
              <w:rPr>
                <w:rFonts w:ascii="Verdana" w:hAnsi="Verdana"/>
                <w:rtl/>
              </w:rPr>
              <w:t xml:space="preserve">الإضافة </w:t>
            </w:r>
            <w:r w:rsidRPr="007D3564">
              <w:rPr>
                <w:rFonts w:ascii="Verdana" w:hAnsi="Verdana"/>
              </w:rPr>
              <w:t>7</w:t>
            </w:r>
            <w:r w:rsidRPr="007D3564">
              <w:rPr>
                <w:rFonts w:ascii="Verdana" w:hAnsi="Verdana"/>
              </w:rPr>
              <w:br/>
            </w:r>
            <w:r w:rsidRPr="007D3564">
              <w:rPr>
                <w:rFonts w:ascii="Verdana" w:hAnsi="Verdana"/>
                <w:rtl/>
              </w:rPr>
              <w:t xml:space="preserve">للوثيقة </w:t>
            </w:r>
            <w:r w:rsidRPr="007D3564">
              <w:rPr>
                <w:rFonts w:ascii="Verdana" w:hAnsi="Verdana"/>
              </w:rPr>
              <w:t>62-</w:t>
            </w:r>
            <w:r w:rsidR="007D3564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D356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D356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D3564">
              <w:rPr>
                <w:rFonts w:ascii="Verdana" w:eastAsia="SimSun" w:hAnsi="Verdana"/>
              </w:rPr>
              <w:t>16</w:t>
            </w:r>
            <w:r w:rsidRPr="007D3564">
              <w:rPr>
                <w:rFonts w:ascii="Verdana" w:eastAsia="SimSun" w:hAnsi="Verdana"/>
                <w:rtl/>
              </w:rPr>
              <w:t xml:space="preserve"> أكتوبر </w:t>
            </w:r>
            <w:r w:rsidRPr="007D3564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D356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D356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7D3564">
              <w:rPr>
                <w:rFonts w:ascii="Verdana" w:eastAsia="SimSun" w:hAnsi="Verdana"/>
                <w:rtl/>
              </w:rPr>
              <w:t>الأصل: بالصينية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7D356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B60B86">
            <w:pPr>
              <w:pStyle w:val="Source"/>
              <w:spacing w:before="600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D356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B60B86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D356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D3564">
              <w:t>7.1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BA0ADD" w:rsidP="00B60B86">
      <w:pPr>
        <w:pStyle w:val="Normalaftertitle"/>
        <w:spacing w:line="180" w:lineRule="auto"/>
        <w:rPr>
          <w:rFonts w:eastAsia="SimSun"/>
          <w:rtl/>
        </w:rPr>
      </w:pPr>
      <w:r w:rsidRPr="00431196">
        <w:rPr>
          <w:rFonts w:eastAsia="SimSun"/>
        </w:rPr>
        <w:t>7.1</w:t>
      </w:r>
      <w:r w:rsidRPr="00431196">
        <w:rPr>
          <w:rFonts w:eastAsia="SimSun" w:hint="cs"/>
          <w:rtl/>
        </w:rPr>
        <w:tab/>
        <w:t>استعراض استعمال الخدمة الثابتة الساتلية (أرض</w:t>
      </w:r>
      <w:r w:rsidRPr="00431196">
        <w:rPr>
          <w:rFonts w:eastAsia="SimSun"/>
          <w:rtl/>
        </w:rPr>
        <w:t>-</w:t>
      </w:r>
      <w:r w:rsidRPr="00431196">
        <w:rPr>
          <w:rFonts w:eastAsia="SimSun" w:hint="cs"/>
          <w:rtl/>
        </w:rPr>
        <w:t xml:space="preserve">فضاء) للنطاق </w:t>
      </w:r>
      <w:r w:rsidRPr="00431196">
        <w:rPr>
          <w:rFonts w:eastAsia="SimSun"/>
        </w:rPr>
        <w:t>MHz 5 150</w:t>
      </w:r>
      <w:r w:rsidRPr="00431196">
        <w:rPr>
          <w:rFonts w:eastAsia="SimSun"/>
        </w:rPr>
        <w:noBreakHyphen/>
        <w:t>5 091</w:t>
      </w:r>
      <w:r w:rsidRPr="00431196">
        <w:rPr>
          <w:rFonts w:eastAsia="SimSun" w:hint="cs"/>
          <w:rtl/>
        </w:rPr>
        <w:t xml:space="preserve"> (المقصور على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وصلات التغذية للأنظمة المتنقلة الساتلية غير المستقرة بالنسبة إلى الأرض في الخدمة المتنقلة الساتلية)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114 (Rev.WRC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7D3564" w:rsidP="00B60B86">
      <w:pPr>
        <w:pStyle w:val="Headingb"/>
        <w:spacing w:line="180" w:lineRule="auto"/>
        <w:rPr>
          <w:rtl/>
        </w:rPr>
      </w:pPr>
      <w:r>
        <w:rPr>
          <w:rFonts w:hint="cs"/>
          <w:rtl/>
        </w:rPr>
        <w:t>مقدمة</w:t>
      </w:r>
    </w:p>
    <w:p w:rsidR="007D3564" w:rsidRDefault="007D3564" w:rsidP="00B60B86">
      <w:pPr>
        <w:spacing w:line="180" w:lineRule="auto"/>
        <w:rPr>
          <w:rtl/>
          <w:lang w:bidi="ar-EG"/>
        </w:rPr>
      </w:pPr>
      <w:r w:rsidRPr="00457A52">
        <w:rPr>
          <w:rFonts w:hint="cs"/>
          <w:rtl/>
        </w:rPr>
        <w:t>القرار</w:t>
      </w:r>
      <w:r w:rsidRPr="00457A52">
        <w:rPr>
          <w:rtl/>
        </w:rPr>
        <w:t xml:space="preserve"> </w:t>
      </w:r>
      <w:r w:rsidRPr="007D3564">
        <w:t>114 (Rev.WRC-12)</w:t>
      </w:r>
      <w:r w:rsidRPr="007D3564">
        <w:rPr>
          <w:rFonts w:hint="cs"/>
          <w:rtl/>
        </w:rPr>
        <w:t xml:space="preserve"> </w:t>
      </w:r>
      <w:r w:rsidR="002F71C6">
        <w:rPr>
          <w:rFonts w:hint="cs"/>
          <w:rtl/>
        </w:rPr>
        <w:t>يتعلق ب</w:t>
      </w:r>
      <w:r w:rsidRPr="005A4019">
        <w:rPr>
          <w:rFonts w:hint="cs"/>
          <w:rtl/>
        </w:rPr>
        <w:t>دراسات</w:t>
      </w:r>
      <w:r w:rsidRPr="005A4019">
        <w:rPr>
          <w:rtl/>
        </w:rPr>
        <w:t xml:space="preserve"> </w:t>
      </w:r>
      <w:r w:rsidRPr="005A4019">
        <w:rPr>
          <w:rFonts w:hint="cs"/>
          <w:rtl/>
        </w:rPr>
        <w:t>عن</w:t>
      </w:r>
      <w:r w:rsidRPr="005A4019">
        <w:rPr>
          <w:rtl/>
        </w:rPr>
        <w:t xml:space="preserve"> </w:t>
      </w:r>
      <w:r w:rsidRPr="005A4019">
        <w:rPr>
          <w:rFonts w:hint="cs"/>
          <w:rtl/>
        </w:rPr>
        <w:t>التوافق</w:t>
      </w:r>
      <w:r w:rsidRPr="005A4019">
        <w:rPr>
          <w:rtl/>
        </w:rPr>
        <w:t xml:space="preserve"> </w:t>
      </w:r>
      <w:r w:rsidRPr="005A4019">
        <w:rPr>
          <w:rFonts w:hint="cs"/>
          <w:rtl/>
        </w:rPr>
        <w:t>بين</w:t>
      </w:r>
      <w:r w:rsidRPr="005A4019">
        <w:rPr>
          <w:rtl/>
        </w:rPr>
        <w:t xml:space="preserve"> </w:t>
      </w:r>
      <w:r w:rsidRPr="005A4019">
        <w:rPr>
          <w:rFonts w:hint="cs"/>
          <w:rtl/>
        </w:rPr>
        <w:t>الأنظمة</w:t>
      </w:r>
      <w:r w:rsidRPr="005A4019">
        <w:rPr>
          <w:rtl/>
        </w:rPr>
        <w:t xml:space="preserve"> </w:t>
      </w:r>
      <w:r w:rsidRPr="005A4019">
        <w:rPr>
          <w:rFonts w:hint="cs"/>
          <w:rtl/>
        </w:rPr>
        <w:t>الجديدة</w:t>
      </w:r>
      <w:r w:rsidRPr="005A4019">
        <w:rPr>
          <w:rtl/>
        </w:rPr>
        <w:t xml:space="preserve"> </w:t>
      </w:r>
      <w:r w:rsidRPr="005A4019">
        <w:rPr>
          <w:rFonts w:hint="cs"/>
          <w:rtl/>
        </w:rPr>
        <w:t>لخدمة</w:t>
      </w:r>
      <w:r w:rsidRPr="005A4019">
        <w:rPr>
          <w:rtl/>
        </w:rPr>
        <w:t xml:space="preserve"> </w:t>
      </w:r>
      <w:r w:rsidRPr="005A4019">
        <w:rPr>
          <w:rFonts w:hint="cs"/>
          <w:rtl/>
        </w:rPr>
        <w:t>الملاحة</w:t>
      </w:r>
      <w:r w:rsidRPr="005A4019">
        <w:rPr>
          <w:rtl/>
        </w:rPr>
        <w:t xml:space="preserve"> </w:t>
      </w:r>
      <w:r w:rsidRPr="005A4019">
        <w:rPr>
          <w:rFonts w:hint="cs"/>
          <w:rtl/>
        </w:rPr>
        <w:t>الراديوية</w:t>
      </w:r>
      <w:r w:rsidRPr="005A4019">
        <w:rPr>
          <w:rtl/>
        </w:rPr>
        <w:t xml:space="preserve"> </w:t>
      </w:r>
      <w:r w:rsidRPr="005A4019">
        <w:rPr>
          <w:rFonts w:hint="cs"/>
          <w:rtl/>
        </w:rPr>
        <w:t>للطيران</w:t>
      </w:r>
      <w:r w:rsidRPr="005A4019">
        <w:rPr>
          <w:rtl/>
        </w:rPr>
        <w:t xml:space="preserve"> </w:t>
      </w:r>
      <w:r w:rsidRPr="005A4019">
        <w:rPr>
          <w:rFonts w:hint="cs"/>
          <w:rtl/>
        </w:rPr>
        <w:t>والخدمة</w:t>
      </w:r>
      <w:r w:rsidRPr="005A4019">
        <w:rPr>
          <w:rtl/>
        </w:rPr>
        <w:t xml:space="preserve"> </w:t>
      </w:r>
      <w:r w:rsidRPr="005A4019">
        <w:rPr>
          <w:rFonts w:hint="cs"/>
          <w:rtl/>
        </w:rPr>
        <w:t>الثابتة</w:t>
      </w:r>
      <w:r w:rsidRPr="005A4019">
        <w:rPr>
          <w:rtl/>
        </w:rPr>
        <w:t xml:space="preserve"> </w:t>
      </w:r>
      <w:r w:rsidRPr="005A4019">
        <w:rPr>
          <w:rFonts w:hint="cs"/>
          <w:rtl/>
        </w:rPr>
        <w:t>الساتلية</w:t>
      </w:r>
      <w:r w:rsidRPr="005A4019">
        <w:rPr>
          <w:rtl/>
        </w:rPr>
        <w:t xml:space="preserve"> (</w:t>
      </w:r>
      <w:r w:rsidRPr="005A4019">
        <w:rPr>
          <w:rFonts w:hint="cs"/>
          <w:rtl/>
        </w:rPr>
        <w:t>أرض</w:t>
      </w:r>
      <w:r w:rsidRPr="005A4019">
        <w:rPr>
          <w:rtl/>
        </w:rPr>
        <w:t>-</w:t>
      </w:r>
      <w:r w:rsidRPr="005A4019">
        <w:rPr>
          <w:rFonts w:hint="cs"/>
          <w:rtl/>
        </w:rPr>
        <w:t>فضاء</w:t>
      </w:r>
      <w:r w:rsidRPr="005A4019">
        <w:rPr>
          <w:rtl/>
        </w:rPr>
        <w:t>) (</w:t>
      </w:r>
      <w:r w:rsidRPr="005A4019">
        <w:rPr>
          <w:rFonts w:hint="cs"/>
          <w:rtl/>
        </w:rPr>
        <w:t>المقصور على</w:t>
      </w:r>
      <w:r w:rsidRPr="005A4019">
        <w:rPr>
          <w:rFonts w:hint="eastAsia"/>
          <w:rtl/>
        </w:rPr>
        <w:t> </w:t>
      </w:r>
      <w:r w:rsidRPr="005A4019">
        <w:rPr>
          <w:rFonts w:hint="cs"/>
          <w:rtl/>
        </w:rPr>
        <w:t>وصلات التغذية للأنظمة المتنقلة الساتلية غير المستقرة بالنسبة إلى الأرض في الخدمة المتنقلة الساتلية</w:t>
      </w:r>
      <w:r w:rsidRPr="005A4019">
        <w:rPr>
          <w:rtl/>
        </w:rPr>
        <w:t xml:space="preserve">) </w:t>
      </w:r>
      <w:r w:rsidRPr="005A4019">
        <w:rPr>
          <w:rFonts w:hint="cs"/>
          <w:rtl/>
        </w:rPr>
        <w:t>في نطاق التردد </w:t>
      </w:r>
      <w:r w:rsidRPr="005A4019">
        <w:t>MHz 5 150</w:t>
      </w:r>
      <w:r w:rsidRPr="005A4019">
        <w:noBreakHyphen/>
        <w:t>5 091</w:t>
      </w:r>
      <w:r>
        <w:rPr>
          <w:rFonts w:hint="cs"/>
          <w:rtl/>
        </w:rPr>
        <w:t>.</w:t>
      </w:r>
    </w:p>
    <w:p w:rsidR="00B60B86" w:rsidRDefault="002F71C6" w:rsidP="00B60B86">
      <w:pPr>
        <w:spacing w:line="180" w:lineRule="auto"/>
        <w:rPr>
          <w:rtl/>
        </w:rPr>
      </w:pPr>
      <w:r>
        <w:rPr>
          <w:rFonts w:hint="cs"/>
          <w:rtl/>
          <w:lang w:bidi="ar-EG"/>
        </w:rPr>
        <w:t>و</w:t>
      </w:r>
      <w:r w:rsidRPr="002F71C6">
        <w:rPr>
          <w:rFonts w:hint="cs"/>
          <w:rtl/>
          <w:lang w:bidi="ar-EG"/>
        </w:rPr>
        <w:t>يوزع</w:t>
      </w:r>
      <w:r w:rsidRPr="002F71C6">
        <w:rPr>
          <w:rFonts w:hint="cs"/>
          <w:rtl/>
        </w:rPr>
        <w:t xml:space="preserve"> النطاق </w:t>
      </w:r>
      <w:r w:rsidRPr="002F71C6">
        <w:rPr>
          <w:lang w:bidi="ar-SY"/>
        </w:rPr>
        <w:t>MHz 5 150-5 091</w:t>
      </w:r>
      <w:r w:rsidRPr="002F71C6">
        <w:rPr>
          <w:rFonts w:hint="cs"/>
          <w:rtl/>
        </w:rPr>
        <w:t xml:space="preserve"> </w:t>
      </w:r>
      <w:r>
        <w:rPr>
          <w:rFonts w:hint="cs"/>
          <w:rtl/>
        </w:rPr>
        <w:t>في لوائح الراديو (</w:t>
      </w:r>
      <w:r>
        <w:rPr>
          <w:rFonts w:hint="cs"/>
          <w:rtl/>
          <w:lang w:bidi="ar-EG"/>
        </w:rPr>
        <w:t xml:space="preserve">طبعة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) للخدمات المتنقلة للطيران والخدمات المتنقلة الساتلية للطيران</w:t>
      </w:r>
      <w:r w:rsidR="00B60B8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والملاحة الراديوية للطيران على أساس أولي. وبالإضافة إلى ذلك، ينص الرقم </w:t>
      </w:r>
      <w:r>
        <w:rPr>
          <w:lang w:bidi="ar-EG"/>
        </w:rPr>
        <w:t>444A.5</w:t>
      </w:r>
      <w:r>
        <w:rPr>
          <w:rFonts w:hint="cs"/>
          <w:rtl/>
          <w:lang w:bidi="ar-EG"/>
        </w:rPr>
        <w:t xml:space="preserve"> من لوائح الراديو على أن يوزع النطاق </w:t>
      </w:r>
      <w:r>
        <w:rPr>
          <w:lang w:bidi="ar-EG"/>
        </w:rPr>
        <w:t>MHz 5 150</w:t>
      </w:r>
      <w:r>
        <w:rPr>
          <w:lang w:bidi="ar-EG"/>
        </w:rPr>
        <w:noBreakHyphen/>
        <w:t>5 091</w:t>
      </w:r>
      <w:r>
        <w:rPr>
          <w:rFonts w:hint="cs"/>
          <w:rtl/>
          <w:lang w:bidi="ar-EG"/>
        </w:rPr>
        <w:t xml:space="preserve"> على أساس أولي أيضاً </w:t>
      </w:r>
      <w:r>
        <w:rPr>
          <w:rFonts w:eastAsia="SimSun" w:hint="cs"/>
          <w:rtl/>
        </w:rPr>
        <w:t>ل</w:t>
      </w:r>
      <w:r w:rsidRPr="00431196">
        <w:rPr>
          <w:rFonts w:eastAsia="SimSun" w:hint="cs"/>
          <w:rtl/>
        </w:rPr>
        <w:t>لخدمة الثابتة الساتلية (أرض</w:t>
      </w:r>
      <w:r w:rsidRPr="00431196">
        <w:rPr>
          <w:rFonts w:eastAsia="SimSun"/>
          <w:rtl/>
        </w:rPr>
        <w:t>-</w:t>
      </w:r>
      <w:r w:rsidRPr="00431196">
        <w:rPr>
          <w:rFonts w:eastAsia="SimSun" w:hint="cs"/>
          <w:rtl/>
        </w:rPr>
        <w:t>فضاء)</w:t>
      </w:r>
      <w:r w:rsidRPr="002F71C6">
        <w:rPr>
          <w:rtl/>
        </w:rPr>
        <w:t xml:space="preserve"> </w:t>
      </w:r>
      <w:r w:rsidRPr="005A4019">
        <w:rPr>
          <w:rtl/>
        </w:rPr>
        <w:t>(</w:t>
      </w:r>
      <w:r w:rsidRPr="005A4019">
        <w:rPr>
          <w:rFonts w:hint="cs"/>
          <w:rtl/>
        </w:rPr>
        <w:t>المقصور على</w:t>
      </w:r>
      <w:r w:rsidRPr="005A4019">
        <w:rPr>
          <w:rFonts w:hint="eastAsia"/>
          <w:rtl/>
        </w:rPr>
        <w:t> </w:t>
      </w:r>
      <w:r w:rsidRPr="005A4019">
        <w:rPr>
          <w:rFonts w:hint="cs"/>
          <w:rtl/>
        </w:rPr>
        <w:t>وصلات التغذية للأنظمة المتنقلة الساتلية غير المستقرة بالنسبة إلى الأرض في الخدمة المتنقلة الساتلية</w:t>
      </w:r>
      <w:r w:rsidRPr="005A4019">
        <w:rPr>
          <w:rtl/>
        </w:rPr>
        <w:t>)</w:t>
      </w:r>
      <w:r w:rsidR="00B60B86">
        <w:rPr>
          <w:rFonts w:hint="cs"/>
          <w:rtl/>
        </w:rPr>
        <w:t xml:space="preserve"> </w:t>
      </w:r>
      <w:r w:rsidR="00291EF2">
        <w:rPr>
          <w:rFonts w:hint="cs"/>
          <w:rtl/>
        </w:rPr>
        <w:t>بشرط أن يحمي هذا التوزي</w:t>
      </w:r>
      <w:r w:rsidR="00291EF2">
        <w:rPr>
          <w:rFonts w:hint="cs"/>
          <w:rtl/>
          <w:lang w:bidi="ar-EG"/>
        </w:rPr>
        <w:t>ع نظام</w:t>
      </w:r>
      <w:r w:rsidR="00291EF2" w:rsidRPr="00291EF2">
        <w:rPr>
          <w:rtl/>
        </w:rPr>
        <w:t xml:space="preserve"> الهبوط بالموجات الصغرية</w:t>
      </w:r>
      <w:r w:rsidR="00291EF2" w:rsidRPr="00291EF2">
        <w:t xml:space="preserve"> (MLS) </w:t>
      </w:r>
      <w:r w:rsidR="00291EF2">
        <w:rPr>
          <w:rFonts w:hint="cs"/>
          <w:rtl/>
        </w:rPr>
        <w:t>وألا</w:t>
      </w:r>
      <w:r w:rsidR="00B60B86">
        <w:rPr>
          <w:rFonts w:hint="cs"/>
          <w:rtl/>
        </w:rPr>
        <w:t>َّ</w:t>
      </w:r>
      <w:r w:rsidR="00291EF2">
        <w:rPr>
          <w:rFonts w:hint="cs"/>
          <w:rtl/>
        </w:rPr>
        <w:t xml:space="preserve"> يتسبب في أي</w:t>
      </w:r>
      <w:r w:rsidR="00B60B86">
        <w:rPr>
          <w:rFonts w:hint="cs"/>
          <w:rtl/>
        </w:rPr>
        <w:t>ّ</w:t>
      </w:r>
      <w:r w:rsidR="00291EF2">
        <w:rPr>
          <w:rFonts w:hint="cs"/>
          <w:rtl/>
        </w:rPr>
        <w:t xml:space="preserve"> تداخل لخدمة الملاحة الراديوية للطيران.</w:t>
      </w:r>
    </w:p>
    <w:p w:rsidR="007D3564" w:rsidRDefault="007D3564" w:rsidP="00B60B86">
      <w:pPr>
        <w:pStyle w:val="Headingb"/>
        <w:spacing w:line="180" w:lineRule="auto"/>
        <w:rPr>
          <w:rtl/>
        </w:rPr>
      </w:pPr>
      <w:r>
        <w:rPr>
          <w:rFonts w:hint="cs"/>
          <w:rtl/>
        </w:rPr>
        <w:t>المقترح</w:t>
      </w:r>
    </w:p>
    <w:p w:rsidR="00291EF2" w:rsidRPr="00291EF2" w:rsidRDefault="00291EF2" w:rsidP="00B60B86">
      <w:pPr>
        <w:pStyle w:val="Reasons"/>
        <w:keepNext/>
        <w:spacing w:line="180" w:lineRule="auto"/>
        <w:rPr>
          <w:b w:val="0"/>
          <w:bCs w:val="0"/>
        </w:rPr>
      </w:pPr>
      <w:r w:rsidRPr="00291EF2">
        <w:rPr>
          <w:rFonts w:hint="cs"/>
          <w:b w:val="0"/>
          <w:bCs w:val="0"/>
          <w:rtl/>
        </w:rPr>
        <w:t>تشعر هذه الإدارة بقلق بالغ بشأن حماية</w:t>
      </w:r>
      <w:r w:rsidRPr="00291EF2">
        <w:rPr>
          <w:b w:val="0"/>
          <w:bCs w:val="0"/>
          <w:rtl/>
        </w:rPr>
        <w:t xml:space="preserve"> أنظمة خدمة الملاحة الراديوية للطيران</w:t>
      </w:r>
      <w:r w:rsidRPr="00291EF2">
        <w:rPr>
          <w:rFonts w:hint="cs"/>
          <w:b w:val="0"/>
          <w:bCs w:val="0"/>
          <w:rtl/>
        </w:rPr>
        <w:t xml:space="preserve"> التي تتقاسم نفس نطاق التردد مع أنظمة الخدمة الثابتة الساتلية. ويؤكد القرار </w:t>
      </w:r>
      <w:r w:rsidRPr="00291EF2">
        <w:rPr>
          <w:b w:val="0"/>
          <w:bCs w:val="0"/>
        </w:rPr>
        <w:t>114 (Rev.WRC</w:t>
      </w:r>
      <w:r w:rsidRPr="00291EF2">
        <w:rPr>
          <w:b w:val="0"/>
          <w:bCs w:val="0"/>
        </w:rPr>
        <w:noBreakHyphen/>
        <w:t>12)</w:t>
      </w:r>
      <w:r w:rsidRPr="00291EF2">
        <w:rPr>
          <w:rFonts w:hint="cs"/>
          <w:b w:val="0"/>
          <w:bCs w:val="0"/>
          <w:rtl/>
          <w:lang w:bidi="ar-EG"/>
        </w:rPr>
        <w:t xml:space="preserve"> والتوصية </w:t>
      </w:r>
      <w:r w:rsidRPr="00291EF2">
        <w:rPr>
          <w:b w:val="0"/>
          <w:bCs w:val="0"/>
          <w:lang w:bidi="ar-EG"/>
        </w:rPr>
        <w:t>ITU</w:t>
      </w:r>
      <w:r w:rsidRPr="00291EF2">
        <w:rPr>
          <w:b w:val="0"/>
          <w:bCs w:val="0"/>
          <w:lang w:bidi="ar-EG"/>
        </w:rPr>
        <w:noBreakHyphen/>
        <w:t>R S.1342</w:t>
      </w:r>
      <w:r w:rsidRPr="00291EF2">
        <w:rPr>
          <w:rFonts w:hint="cs"/>
          <w:b w:val="0"/>
          <w:bCs w:val="0"/>
          <w:rtl/>
          <w:lang w:bidi="ar-EG"/>
        </w:rPr>
        <w:t xml:space="preserve"> أن الأولوية تكون</w:t>
      </w:r>
      <w:r w:rsidRPr="00291EF2">
        <w:rPr>
          <w:b w:val="0"/>
          <w:bCs w:val="0"/>
          <w:rtl/>
        </w:rPr>
        <w:t xml:space="preserve"> </w:t>
      </w:r>
      <w:r w:rsidRPr="00291EF2">
        <w:rPr>
          <w:rFonts w:hint="cs"/>
          <w:b w:val="0"/>
          <w:bCs w:val="0"/>
          <w:rtl/>
        </w:rPr>
        <w:t>ل</w:t>
      </w:r>
      <w:r w:rsidRPr="00291EF2">
        <w:rPr>
          <w:b w:val="0"/>
          <w:bCs w:val="0"/>
          <w:rtl/>
        </w:rPr>
        <w:t>أنظمة خدمة الملاحة الراديوية للطيران</w:t>
      </w:r>
      <w:r w:rsidRPr="00291EF2">
        <w:rPr>
          <w:rFonts w:hint="cs"/>
          <w:b w:val="0"/>
          <w:bCs w:val="0"/>
          <w:rtl/>
        </w:rPr>
        <w:t xml:space="preserve">. وتحدد مسافة تنسيق </w:t>
      </w:r>
      <w:r w:rsidR="00835275">
        <w:rPr>
          <w:rFonts w:hint="cs"/>
          <w:b w:val="0"/>
          <w:bCs w:val="0"/>
          <w:rtl/>
        </w:rPr>
        <w:t xml:space="preserve">من أجل </w:t>
      </w:r>
      <w:r w:rsidRPr="00291EF2">
        <w:rPr>
          <w:rFonts w:hint="cs"/>
          <w:b w:val="0"/>
          <w:bCs w:val="0"/>
          <w:rtl/>
        </w:rPr>
        <w:t xml:space="preserve">حماية هذه الأنظمة. ويراعي الأسلوب الوارد في تقرير الاجتماع التحضيري للمؤتمر أيضاً حماية </w:t>
      </w:r>
      <w:r w:rsidRPr="00291EF2">
        <w:rPr>
          <w:b w:val="0"/>
          <w:bCs w:val="0"/>
          <w:rtl/>
        </w:rPr>
        <w:t>أنظمة خدمة الملاحة الراديوية للطيران</w:t>
      </w:r>
      <w:r w:rsidRPr="00291EF2">
        <w:rPr>
          <w:rFonts w:hint="cs"/>
          <w:b w:val="0"/>
          <w:bCs w:val="0"/>
          <w:rtl/>
        </w:rPr>
        <w:t xml:space="preserve"> من الأنظمة الأخرى التي تستعمل نفس نطاق التردد. وبالتالي ليس لدى هذه الإدارة أي اعتراض على الأسلوب الواحد الوارد </w:t>
      </w:r>
      <w:r w:rsidR="003B4698">
        <w:rPr>
          <w:rFonts w:hint="cs"/>
          <w:b w:val="0"/>
          <w:bCs w:val="0"/>
          <w:rtl/>
        </w:rPr>
        <w:t xml:space="preserve">في </w:t>
      </w:r>
      <w:r w:rsidRPr="00291EF2">
        <w:rPr>
          <w:rFonts w:hint="cs"/>
          <w:b w:val="0"/>
          <w:bCs w:val="0"/>
          <w:rtl/>
        </w:rPr>
        <w:t>تقرير الاجتماع التحضيري للمؤتمر للوفاء بهذا البند من جدول الأعمال.</w:t>
      </w:r>
    </w:p>
    <w:p w:rsidR="007D3564" w:rsidRDefault="007D3564" w:rsidP="00B60B86">
      <w:pPr>
        <w:pStyle w:val="Headingb"/>
        <w:spacing w:before="24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7D3564" w:rsidSect="004D4A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46" w:rsidRDefault="00745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D3564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92D31">
      <w:rPr>
        <w:noProof/>
        <w:lang w:val="es-ES"/>
      </w:rPr>
      <w:t>P:\TRAD\A\ITU-R\CONF-R\CMR15\000\062ADD07A.docx</w:t>
    </w:r>
    <w:r w:rsidRPr="00CB4300">
      <w:fldChar w:fldCharType="end"/>
    </w:r>
    <w:r w:rsidRPr="00CB4300">
      <w:rPr>
        <w:lang w:val="es-ES"/>
      </w:rPr>
      <w:t xml:space="preserve">  (</w:t>
    </w:r>
    <w:r w:rsidR="007D3564">
      <w:rPr>
        <w:lang w:val="es-ES"/>
      </w:rPr>
      <w:t>388502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45E46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545CE">
      <w:rPr>
        <w:noProof/>
      </w:rPr>
      <w:t>29.10.15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D3564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45E46">
      <w:rPr>
        <w:noProof/>
        <w:lang w:val="es-ES"/>
      </w:rPr>
      <w:t>P:\ARA\ITU-R\CONF-R\CMR15\000\062ADD07A.docx</w:t>
    </w:r>
    <w:r>
      <w:fldChar w:fldCharType="end"/>
    </w:r>
    <w:bookmarkStart w:id="1" w:name="_GoBack"/>
    <w:bookmarkEnd w:id="1"/>
    <w:r w:rsidRPr="00CB4300">
      <w:rPr>
        <w:lang w:val="es-ES"/>
      </w:rPr>
      <w:t xml:space="preserve">   (</w:t>
    </w:r>
    <w:r w:rsidR="007D3564">
      <w:rPr>
        <w:lang w:val="es-ES"/>
      </w:rPr>
      <w:t>388502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45E46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545CE">
      <w:rPr>
        <w:noProof/>
      </w:rPr>
      <w:t>29.10.15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60B8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62(Add.7)-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46" w:rsidRDefault="00745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5E52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3EB0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1EF2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71C6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698"/>
    <w:rsid w:val="003B4F23"/>
    <w:rsid w:val="003C12F6"/>
    <w:rsid w:val="003C3A13"/>
    <w:rsid w:val="003D46D5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5E46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3564"/>
    <w:rsid w:val="007E0E8B"/>
    <w:rsid w:val="007F08CA"/>
    <w:rsid w:val="007F7FC3"/>
    <w:rsid w:val="00810482"/>
    <w:rsid w:val="00817568"/>
    <w:rsid w:val="008204AC"/>
    <w:rsid w:val="008261C2"/>
    <w:rsid w:val="00830D96"/>
    <w:rsid w:val="00835275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084D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0B86"/>
    <w:rsid w:val="00B66817"/>
    <w:rsid w:val="00B71E3B"/>
    <w:rsid w:val="00B721D5"/>
    <w:rsid w:val="00B81CB5"/>
    <w:rsid w:val="00B8351F"/>
    <w:rsid w:val="00B86C44"/>
    <w:rsid w:val="00B9727C"/>
    <w:rsid w:val="00BA0ADD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5CE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4E17"/>
    <w:rsid w:val="00E77D29"/>
    <w:rsid w:val="00E833BC"/>
    <w:rsid w:val="00E8580E"/>
    <w:rsid w:val="00E92D31"/>
    <w:rsid w:val="00EA1B76"/>
    <w:rsid w:val="00EA77D7"/>
    <w:rsid w:val="00EC09B9"/>
    <w:rsid w:val="00ED048C"/>
    <w:rsid w:val="00ED4B29"/>
    <w:rsid w:val="00EF218F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DC4E891-3945-4AFE-90B8-852BD098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D46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D46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R15-WRC15-C-0062!A7!MSW-A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E3E84-A70B-44F2-89F3-CABE63A42B96}">
  <ds:schemaRefs>
    <ds:schemaRef ds:uri="996b2e75-67fd-4955-a3b0-5ab9934cb50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FBCA9FE-2DAF-484D-8AF5-C80BC52D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R15-WRC15-C-0062!A7!MSW-A</vt:lpstr>
    </vt:vector>
  </TitlesOfParts>
  <Manager>General Secretariat - Pool</Manager>
  <Company>International Telecommunication Union (ITU)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R15-WRC15-C-0062!A7!MSW-A</dc:title>
  <dc:creator>Documents Proposals Manager (DPM)</dc:creator>
  <cp:keywords>DPM_v5.2015.10.230_prod</cp:keywords>
  <cp:lastModifiedBy>Saad, Samuel</cp:lastModifiedBy>
  <cp:revision>4</cp:revision>
  <cp:lastPrinted>2015-10-29T22:42:00Z</cp:lastPrinted>
  <dcterms:created xsi:type="dcterms:W3CDTF">2015-10-30T09:11:00Z</dcterms:created>
  <dcterms:modified xsi:type="dcterms:W3CDTF">2015-10-30T13:26:00Z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