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FF4E09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F4E09" w:rsidRDefault="003E1608" w:rsidP="00FF4E09">
            <w:pPr>
              <w:pStyle w:val="Adress"/>
              <w:framePr w:hSpace="0" w:wrap="auto" w:xAlign="left" w:yAlign="inline"/>
              <w:rPr>
                <w:rtl/>
              </w:rPr>
            </w:pPr>
            <w:r w:rsidRPr="00FF4E09">
              <w:rPr>
                <w:rtl/>
              </w:rPr>
              <w:t xml:space="preserve">الإضافة </w:t>
            </w:r>
            <w:r w:rsidRPr="00FF4E09">
              <w:t>2</w:t>
            </w:r>
            <w:r w:rsidRPr="00FF4E09">
              <w:br/>
            </w:r>
            <w:r w:rsidRPr="00FF4E09">
              <w:rPr>
                <w:rtl/>
              </w:rPr>
              <w:t xml:space="preserve">للوثيقة </w:t>
            </w:r>
            <w:r w:rsidR="00FF4E09" w:rsidRPr="00FF4E09">
              <w:t>62(Add.9)-A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F4E0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FF4E09">
              <w:rPr>
                <w:rFonts w:eastAsia="SimSun"/>
              </w:rPr>
              <w:t>16</w:t>
            </w:r>
            <w:r w:rsidRPr="00FF4E09">
              <w:rPr>
                <w:rFonts w:eastAsia="SimSun"/>
                <w:rtl/>
              </w:rPr>
              <w:t xml:space="preserve"> أكتوبر </w:t>
            </w:r>
            <w:r w:rsidRPr="00FF4E0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F4E0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FF4E09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F4E09" w:rsidRDefault="00FF4E09" w:rsidP="00FF4E09">
            <w:pPr>
              <w:pStyle w:val="Title1"/>
              <w:rPr>
                <w:w w:val="100"/>
                <w:rtl/>
              </w:rPr>
            </w:pPr>
            <w:r>
              <w:rPr>
                <w:rFonts w:hint="eastAsia"/>
                <w:w w:val="100"/>
                <w:rtl/>
              </w:rPr>
              <w:t>مقترحات</w:t>
            </w:r>
            <w:r>
              <w:rPr>
                <w:w w:val="100"/>
                <w:rtl/>
              </w:rPr>
              <w:t xml:space="preserve"> </w:t>
            </w:r>
            <w:r>
              <w:rPr>
                <w:rFonts w:hint="eastAsia"/>
                <w:w w:val="100"/>
                <w:rtl/>
              </w:rPr>
              <w:t>بشأن</w:t>
            </w:r>
            <w:r>
              <w:rPr>
                <w:w w:val="100"/>
                <w:rtl/>
              </w:rPr>
              <w:t xml:space="preserve"> </w:t>
            </w:r>
            <w:r>
              <w:rPr>
                <w:rFonts w:hint="eastAsia"/>
                <w:w w:val="100"/>
                <w:rtl/>
              </w:rPr>
              <w:t>أعمال</w:t>
            </w:r>
            <w:r>
              <w:rPr>
                <w:w w:val="100"/>
                <w:rtl/>
              </w:rPr>
              <w:t xml:space="preserve"> </w:t>
            </w:r>
            <w:r>
              <w:rPr>
                <w:rFonts w:hint="eastAsia"/>
                <w:w w:val="100"/>
                <w:rtl/>
              </w:rPr>
              <w:t>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F4E09" w:rsidRPr="00431196">
              <w:rPr>
                <w:rFonts w:eastAsia="SimSun"/>
              </w:rPr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A2F88" w:rsidP="007B55C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5A2F88" w:rsidP="00271326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</w:t>
      </w:r>
      <w:r w:rsidR="0027132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التنظيمية الإضافية حسب نتائج الدراسات ذات الصلة؛</w:t>
      </w:r>
    </w:p>
    <w:p w:rsidR="00F16602" w:rsidRDefault="004A301D" w:rsidP="004A301D">
      <w:pPr>
        <w:pStyle w:val="Heading1"/>
        <w:rPr>
          <w:rtl/>
        </w:rPr>
      </w:pPr>
      <w:r>
        <w:t>1</w:t>
      </w:r>
      <w:r>
        <w:tab/>
      </w:r>
      <w:r w:rsidR="00471D7A">
        <w:rPr>
          <w:rFonts w:hint="cs"/>
          <w:rtl/>
        </w:rPr>
        <w:t>مقدمة</w:t>
      </w:r>
    </w:p>
    <w:p w:rsidR="00471D7A" w:rsidRDefault="00471D7A" w:rsidP="00271326">
      <w:pPr>
        <w:rPr>
          <w:rtl/>
        </w:rPr>
      </w:pPr>
      <w:r>
        <w:rPr>
          <w:rFonts w:hint="cs"/>
          <w:rtl/>
          <w:lang w:bidi="ar-EG"/>
        </w:rPr>
        <w:t xml:space="preserve">يدعو </w:t>
      </w:r>
      <w:r w:rsidRPr="00F555FE">
        <w:rPr>
          <w:rFonts w:hint="cs"/>
          <w:rtl/>
        </w:rPr>
        <w:t>القـرار</w:t>
      </w:r>
      <w:r w:rsidR="00271326">
        <w:rPr>
          <w:rFonts w:hint="eastAsia"/>
          <w:rtl/>
        </w:rPr>
        <w:t> 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r>
        <w:rPr>
          <w:rFonts w:hint="cs"/>
          <w:rtl/>
        </w:rPr>
        <w:t xml:space="preserve"> </w:t>
      </w:r>
      <w:r w:rsidR="00995ED6">
        <w:rPr>
          <w:rFonts w:hint="cs"/>
          <w:rtl/>
        </w:rPr>
        <w:t xml:space="preserve">لجان دراسات قطاع الاتصالات الراديوية </w:t>
      </w:r>
      <w:r>
        <w:rPr>
          <w:rFonts w:hint="cs"/>
          <w:rtl/>
        </w:rPr>
        <w:t xml:space="preserve">إلى </w:t>
      </w:r>
      <w:r w:rsidR="0002301B">
        <w:rPr>
          <w:rFonts w:hint="cs"/>
          <w:rtl/>
          <w:lang w:bidi="ar-EG"/>
        </w:rPr>
        <w:t>"</w:t>
      </w:r>
      <w:r>
        <w:rPr>
          <w:rFonts w:hint="cs"/>
          <w:rtl/>
        </w:rPr>
        <w:t>إجراء دراسات تقنية وتنظيمية بشأن إمكانية توزيع النطاقين</w:t>
      </w:r>
      <w:r w:rsidR="00271326">
        <w:rPr>
          <w:rFonts w:hint="eastAsia"/>
          <w:rtl/>
        </w:rPr>
        <w:t> </w:t>
      </w:r>
      <w:r>
        <w:t>MHz 7 750</w:t>
      </w:r>
      <w:r>
        <w:noBreakHyphen/>
        <w:t>7 375</w:t>
      </w:r>
      <w:r>
        <w:rPr>
          <w:rFonts w:hint="cs"/>
          <w:rtl/>
        </w:rPr>
        <w:t xml:space="preserve"> (فضاء-أرض) و</w:t>
      </w:r>
      <w:r>
        <w:t>MHz 8 400</w:t>
      </w:r>
      <w:r>
        <w:noBreakHyphen/>
        <w:t>8 025</w:t>
      </w:r>
      <w:r>
        <w:rPr>
          <w:rFonts w:hint="cs"/>
          <w:b/>
          <w:rtl/>
        </w:rPr>
        <w:t xml:space="preserve"> </w:t>
      </w:r>
      <w:r w:rsidRPr="00200440">
        <w:rPr>
          <w:rFonts w:hint="cs"/>
          <w:rtl/>
        </w:rPr>
        <w:t>(أرض-فضاء)</w:t>
      </w:r>
      <w:r>
        <w:rPr>
          <w:rFonts w:hint="cs"/>
          <w:rtl/>
        </w:rPr>
        <w:t xml:space="preserve"> أو أجزاء منهما للخدمة المتنقلة البحرية الساتلية وفي الوقت نفسه ضمان التوافق مع</w:t>
      </w:r>
      <w:r>
        <w:rPr>
          <w:rFonts w:hint="eastAsia"/>
          <w:rtl/>
        </w:rPr>
        <w:t> </w:t>
      </w:r>
      <w:r>
        <w:rPr>
          <w:rFonts w:hint="cs"/>
          <w:rtl/>
        </w:rPr>
        <w:t>الخدمات القائمة</w:t>
      </w:r>
      <w:r w:rsidR="0002301B">
        <w:rPr>
          <w:rFonts w:hint="cs"/>
          <w:rtl/>
        </w:rPr>
        <w:t>".</w:t>
      </w:r>
    </w:p>
    <w:p w:rsidR="001546ED" w:rsidRPr="00457A52" w:rsidRDefault="0002301B" w:rsidP="00F013FE">
      <w:pPr>
        <w:rPr>
          <w:rFonts w:eastAsia="SimSun"/>
          <w:spacing w:val="4"/>
          <w:rtl/>
        </w:rPr>
      </w:pPr>
      <w:r>
        <w:rPr>
          <w:rFonts w:eastAsia="SimSun" w:hint="cs"/>
          <w:rtl/>
        </w:rPr>
        <w:t>وفي الوقت الراهن ف</w:t>
      </w:r>
      <w:r w:rsidR="001546ED" w:rsidRPr="00457A52">
        <w:rPr>
          <w:rFonts w:eastAsia="SimSun" w:hint="cs"/>
          <w:rtl/>
        </w:rPr>
        <w:t xml:space="preserve">إن النطاق </w:t>
      </w:r>
      <w:r w:rsidR="001546ED" w:rsidRPr="00457A52">
        <w:rPr>
          <w:rFonts w:eastAsia="SimSun"/>
        </w:rPr>
        <w:t>MHz 7 750-7 375</w:t>
      </w:r>
      <w:r w:rsidR="001546ED" w:rsidRPr="00457A52">
        <w:rPr>
          <w:rFonts w:eastAsia="SimSun" w:hint="cs"/>
          <w:rtl/>
          <w:lang w:bidi="ar-JO"/>
        </w:rPr>
        <w:t xml:space="preserve"> موزَّع </w:t>
      </w:r>
      <w:r>
        <w:rPr>
          <w:rFonts w:eastAsia="SimSun" w:hint="cs"/>
          <w:rtl/>
          <w:lang w:bidi="ar-JO"/>
        </w:rPr>
        <w:t>على أساس أولي</w:t>
      </w:r>
      <w:r w:rsidR="001546ED" w:rsidRPr="00457A52">
        <w:rPr>
          <w:rFonts w:eastAsia="SimSun" w:hint="cs"/>
          <w:rtl/>
          <w:lang w:bidi="ar-JO"/>
        </w:rPr>
        <w:t xml:space="preserve"> على الخدمة الثابتة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/>
        </w:rPr>
        <w:t>(FS)</w:t>
      </w:r>
      <w:r w:rsidR="001546ED" w:rsidRPr="00457A52">
        <w:rPr>
          <w:rFonts w:eastAsia="SimSun" w:hint="cs"/>
          <w:rtl/>
          <w:lang w:bidi="ar-JO"/>
        </w:rPr>
        <w:t>، والخدمة المتنقلة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/>
        </w:rPr>
        <w:t>(MS)</w:t>
      </w:r>
      <w:r w:rsidR="001546ED" w:rsidRPr="00457A52">
        <w:rPr>
          <w:rFonts w:eastAsia="SimSun" w:hint="cs"/>
          <w:rtl/>
          <w:lang w:bidi="ar-JO"/>
        </w:rPr>
        <w:t xml:space="preserve"> (عدا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 w:hint="cs"/>
          <w:rtl/>
          <w:lang w:bidi="ar-JO"/>
        </w:rPr>
        <w:t>الخدمة المتنقلة للطيران)، والخدم</w:t>
      </w:r>
      <w:r>
        <w:rPr>
          <w:rFonts w:eastAsia="SimSun" w:hint="cs"/>
          <w:rtl/>
          <w:lang w:bidi="ar-JO"/>
        </w:rPr>
        <w:t>ات</w:t>
      </w:r>
      <w:r w:rsidR="001546ED" w:rsidRPr="00457A52">
        <w:rPr>
          <w:rFonts w:eastAsia="SimSun" w:hint="cs"/>
          <w:rtl/>
          <w:lang w:bidi="ar-JO"/>
        </w:rPr>
        <w:t xml:space="preserve"> الثابتة الساتلية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/>
        </w:rPr>
        <w:t>(</w:t>
      </w:r>
      <w:r w:rsidRPr="00D04A87">
        <w:t>FSS</w:t>
      </w:r>
      <w:r w:rsidR="001546ED" w:rsidRPr="00457A52">
        <w:rPr>
          <w:rFonts w:eastAsia="SimSun"/>
        </w:rPr>
        <w:t>)</w:t>
      </w:r>
      <w:r w:rsidR="00ED28DA">
        <w:rPr>
          <w:rFonts w:eastAsia="SimSun" w:hint="cs"/>
          <w:rtl/>
        </w:rPr>
        <w:t xml:space="preserve"> </w:t>
      </w:r>
      <w:r w:rsidR="00ED28DA">
        <w:rPr>
          <w:rFonts w:hint="cs"/>
          <w:rtl/>
        </w:rPr>
        <w:t>(فضاء-أرض)</w:t>
      </w:r>
      <w:r w:rsidR="001546ED" w:rsidRPr="00457A52">
        <w:rPr>
          <w:rFonts w:eastAsia="SimSun" w:hint="cs"/>
          <w:rtl/>
          <w:lang w:bidi="ar-JO"/>
        </w:rPr>
        <w:t>؛ والنطاق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/>
        </w:rPr>
        <w:t>MHz 7 550-7 450</w:t>
      </w:r>
      <w:r w:rsidR="001546ED" w:rsidRPr="00457A52">
        <w:rPr>
          <w:rFonts w:eastAsia="SimSun" w:hint="cs"/>
          <w:rtl/>
          <w:lang w:bidi="ar-JO"/>
        </w:rPr>
        <w:t xml:space="preserve"> موزَّع أيضاً </w:t>
      </w:r>
      <w:r>
        <w:rPr>
          <w:rFonts w:eastAsia="SimSun" w:hint="cs"/>
          <w:rtl/>
          <w:lang w:bidi="ar-JO"/>
        </w:rPr>
        <w:t>على أساس أولي</w:t>
      </w:r>
      <w:r w:rsidR="001546ED" w:rsidRPr="00457A52">
        <w:rPr>
          <w:rFonts w:eastAsia="SimSun" w:hint="cs"/>
          <w:rtl/>
          <w:lang w:bidi="ar-JO"/>
        </w:rPr>
        <w:t xml:space="preserve"> على خدمة الأرصاد الجوية الساتلية</w:t>
      </w:r>
      <w:r w:rsidR="001546ED" w:rsidRPr="00457A52">
        <w:rPr>
          <w:rFonts w:eastAsia="SimSun" w:hint="eastAsia"/>
          <w:rtl/>
          <w:lang w:bidi="ar-JO"/>
        </w:rPr>
        <w:t> </w:t>
      </w:r>
      <w:r w:rsidR="00ED28DA">
        <w:rPr>
          <w:rFonts w:hint="cs"/>
          <w:rtl/>
        </w:rPr>
        <w:t>(فضاء-أرض)</w:t>
      </w:r>
      <w:r w:rsidR="001546ED" w:rsidRPr="00457A52">
        <w:rPr>
          <w:rFonts w:eastAsia="SimSun" w:hint="cs"/>
          <w:rtl/>
        </w:rPr>
        <w:t>.</w:t>
      </w:r>
      <w:r w:rsidR="001546ED" w:rsidRPr="00457A52">
        <w:rPr>
          <w:rFonts w:eastAsia="SimSun" w:hint="cs"/>
          <w:rtl/>
          <w:lang w:bidi="ar-JO"/>
        </w:rPr>
        <w:t xml:space="preserve"> </w:t>
      </w:r>
      <w:r>
        <w:rPr>
          <w:rFonts w:eastAsia="SimSun" w:hint="cs"/>
          <w:rtl/>
          <w:lang w:bidi="ar-JO"/>
        </w:rPr>
        <w:t xml:space="preserve">وبالمثل فإن </w:t>
      </w:r>
      <w:r w:rsidR="001546ED" w:rsidRPr="00457A52">
        <w:rPr>
          <w:rFonts w:eastAsia="SimSun" w:hint="cs"/>
          <w:rtl/>
          <w:lang w:bidi="ar-JO"/>
        </w:rPr>
        <w:t>النطاق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/>
        </w:rPr>
        <w:t>MHz 8 400-8 025</w:t>
      </w:r>
      <w:r w:rsidR="00ED28DA">
        <w:rPr>
          <w:rFonts w:eastAsia="SimSun" w:hint="cs"/>
          <w:rtl/>
        </w:rPr>
        <w:t xml:space="preserve"> </w:t>
      </w:r>
      <w:r w:rsidR="00ED28DA">
        <w:rPr>
          <w:rFonts w:hint="cs"/>
          <w:rtl/>
        </w:rPr>
        <w:t>(فضاء-أرض)</w:t>
      </w:r>
      <w:r w:rsidRPr="00457A52">
        <w:rPr>
          <w:rFonts w:eastAsia="SimSun" w:hint="cs"/>
          <w:rtl/>
          <w:lang w:bidi="ar-JO"/>
        </w:rPr>
        <w:t xml:space="preserve"> </w:t>
      </w:r>
      <w:r w:rsidR="001546ED" w:rsidRPr="00457A52">
        <w:rPr>
          <w:rFonts w:eastAsia="SimSun" w:hint="cs"/>
          <w:rtl/>
          <w:lang w:bidi="ar-JO"/>
        </w:rPr>
        <w:t>موزَّع</w:t>
      </w:r>
      <w:r w:rsidR="00F013FE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 w:hint="cs"/>
          <w:rtl/>
          <w:lang w:bidi="ar-JO"/>
        </w:rPr>
        <w:t xml:space="preserve">حالياً </w:t>
      </w:r>
      <w:r>
        <w:rPr>
          <w:rFonts w:eastAsia="SimSun" w:hint="cs"/>
          <w:rtl/>
          <w:lang w:bidi="ar-JO"/>
        </w:rPr>
        <w:t>على أساس أولي</w:t>
      </w:r>
      <w:r w:rsidR="001546ED" w:rsidRPr="00457A52">
        <w:rPr>
          <w:rFonts w:eastAsia="SimSun" w:hint="cs"/>
          <w:rtl/>
          <w:lang w:bidi="ar-JO"/>
        </w:rPr>
        <w:t xml:space="preserve"> على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 w:hint="cs"/>
          <w:rtl/>
          <w:lang w:bidi="ar-JO"/>
        </w:rPr>
        <w:t>خدمة</w:t>
      </w:r>
      <w:r w:rsidR="00271326">
        <w:rPr>
          <w:rFonts w:eastAsia="SimSun" w:hint="eastAsia"/>
          <w:rtl/>
          <w:lang w:bidi="ar-JO"/>
        </w:rPr>
        <w:t> </w:t>
      </w:r>
      <w:r w:rsidR="001546ED" w:rsidRPr="00457A52">
        <w:rPr>
          <w:rFonts w:eastAsia="SimSun" w:hint="cs"/>
          <w:spacing w:val="4"/>
          <w:rtl/>
        </w:rPr>
        <w:t>استكشاف الأرض الساتلية</w:t>
      </w:r>
      <w:r w:rsidR="001546ED" w:rsidRPr="00457A52">
        <w:rPr>
          <w:rFonts w:eastAsia="SimSun" w:hint="eastAsia"/>
          <w:spacing w:val="4"/>
          <w:rtl/>
        </w:rPr>
        <w:t> </w:t>
      </w:r>
      <w:r w:rsidR="00F013FE">
        <w:rPr>
          <w:rFonts w:hint="cs"/>
          <w:rtl/>
        </w:rPr>
        <w:t>(فضاء-أرض)</w:t>
      </w:r>
      <w:r w:rsidR="001546ED" w:rsidRPr="00457A52">
        <w:rPr>
          <w:rFonts w:eastAsia="SimSun" w:hint="cs"/>
          <w:spacing w:val="4"/>
          <w:rtl/>
        </w:rPr>
        <w:t>، والخدمة الثابتة، والخدمة المتنقلة، والخدمة الثابتة الساتلية</w:t>
      </w:r>
      <w:r w:rsidR="00271326">
        <w:rPr>
          <w:rFonts w:eastAsia="SimSun" w:hint="eastAsia"/>
          <w:spacing w:val="4"/>
          <w:rtl/>
        </w:rPr>
        <w:t> </w:t>
      </w:r>
      <w:r w:rsidR="00ED28DA">
        <w:rPr>
          <w:rFonts w:hint="cs"/>
          <w:rtl/>
        </w:rPr>
        <w:t>(أرض-فضاء)</w:t>
      </w:r>
      <w:r w:rsidR="001546ED" w:rsidRPr="00457A52">
        <w:rPr>
          <w:rFonts w:eastAsia="SimSun" w:hint="cs"/>
          <w:spacing w:val="4"/>
          <w:rtl/>
        </w:rPr>
        <w:t>؛ والنطاق</w:t>
      </w:r>
      <w:r w:rsidR="001546ED" w:rsidRPr="00457A52">
        <w:rPr>
          <w:rFonts w:eastAsia="SimSun" w:hint="eastAsia"/>
          <w:spacing w:val="4"/>
          <w:rtl/>
        </w:rPr>
        <w:t> </w:t>
      </w:r>
      <w:r w:rsidR="001546ED" w:rsidRPr="00457A52">
        <w:rPr>
          <w:rFonts w:eastAsia="SimSun"/>
          <w:spacing w:val="4"/>
        </w:rPr>
        <w:t>MHz 8 215</w:t>
      </w:r>
      <w:r w:rsidR="001546ED" w:rsidRPr="00457A52">
        <w:rPr>
          <w:rFonts w:eastAsia="SimSun"/>
          <w:spacing w:val="4"/>
        </w:rPr>
        <w:noBreakHyphen/>
        <w:t>8 175</w:t>
      </w:r>
      <w:r w:rsidR="001546ED" w:rsidRPr="00457A52">
        <w:rPr>
          <w:rFonts w:eastAsia="SimSun"/>
          <w:spacing w:val="4"/>
          <w:rtl/>
        </w:rPr>
        <w:t xml:space="preserve"> </w:t>
      </w:r>
      <w:r w:rsidR="001546ED" w:rsidRPr="00457A52">
        <w:rPr>
          <w:rFonts w:eastAsia="SimSun" w:hint="cs"/>
          <w:spacing w:val="4"/>
          <w:rtl/>
        </w:rPr>
        <w:t xml:space="preserve">موزَّع أيضاً على خدمة الأرصاد الجوية الساتلية </w:t>
      </w:r>
      <w:r w:rsidR="00ED28DA">
        <w:rPr>
          <w:rFonts w:hint="cs"/>
          <w:rtl/>
        </w:rPr>
        <w:t>(أرض-فضاء)</w:t>
      </w:r>
      <w:r w:rsidR="001546ED" w:rsidRPr="00457A52">
        <w:rPr>
          <w:rFonts w:eastAsia="SimSun" w:hint="cs"/>
          <w:spacing w:val="4"/>
          <w:rtl/>
        </w:rPr>
        <w:t>.</w:t>
      </w:r>
    </w:p>
    <w:p w:rsidR="001546ED" w:rsidRDefault="0002301B" w:rsidP="00271326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وبما أن لجنة الدراسات المسؤولة، وهي اللجنة </w:t>
      </w:r>
      <w:r w:rsidRPr="001D1781">
        <w:t>4C</w:t>
      </w:r>
      <w:r>
        <w:rPr>
          <w:rFonts w:hint="cs"/>
          <w:rtl/>
        </w:rPr>
        <w:t xml:space="preserve">، قد أجرت دراسات مستفيضة في إطار البند </w:t>
      </w:r>
      <w:r>
        <w:t>2.9.1</w:t>
      </w:r>
      <w:r>
        <w:rPr>
          <w:rFonts w:hint="cs"/>
          <w:rtl/>
          <w:lang w:bidi="ar-EG"/>
        </w:rPr>
        <w:t xml:space="preserve"> على مدى السنوات الثلاث الماضية فقد تم إنجاز مشروع أولي لتقرير جديد</w:t>
      </w:r>
      <w:r w:rsidR="00271326">
        <w:rPr>
          <w:rFonts w:hint="eastAsia"/>
          <w:rtl/>
          <w:lang w:bidi="ar-EG"/>
        </w:rPr>
        <w:t> </w:t>
      </w:r>
      <w:r w:rsidRPr="001D1781">
        <w:t>ITU-R M.[MMSS 7/8 GHz Sharing]</w:t>
      </w:r>
      <w:r>
        <w:rPr>
          <w:rFonts w:hint="cs"/>
          <w:rtl/>
        </w:rPr>
        <w:t xml:space="preserve"> ونص </w:t>
      </w:r>
      <w:r>
        <w:rPr>
          <w:rFonts w:hint="cs"/>
          <w:rtl/>
          <w:lang w:bidi="ar-EG"/>
        </w:rPr>
        <w:t>تقرير الاجتماع التحضيري للمؤتمر بشأن هذا البند من جدول الأعمال.</w:t>
      </w:r>
    </w:p>
    <w:p w:rsidR="0002301B" w:rsidRDefault="0002301B" w:rsidP="00471D7A">
      <w:pPr>
        <w:rPr>
          <w:rtl/>
          <w:lang w:bidi="ar-EG"/>
        </w:rPr>
      </w:pPr>
      <w:r>
        <w:rPr>
          <w:rFonts w:hint="cs"/>
          <w:rtl/>
          <w:lang w:bidi="ar-EG"/>
        </w:rPr>
        <w:t>وقد تم</w:t>
      </w:r>
      <w:r w:rsidR="00995ED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وضع ثلاثة أساليب في تقرير الاجتماع التحضيري للمؤتمر بشأن بند جدول الأعمال هذا </w:t>
      </w:r>
      <w:r w:rsidR="00995ED6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هي:</w:t>
      </w:r>
    </w:p>
    <w:p w:rsidR="001546ED" w:rsidRPr="00F2487B" w:rsidRDefault="001546ED" w:rsidP="00ED28DA">
      <w:pPr>
        <w:pStyle w:val="enumlev1"/>
        <w:rPr>
          <w:lang w:bidi="ar-EG"/>
        </w:rPr>
      </w:pPr>
      <w:r w:rsidRPr="001546ED">
        <w:rPr>
          <w:rFonts w:cs="Times New Roman"/>
          <w:rtl/>
        </w:rPr>
        <w:t>•</w:t>
      </w:r>
      <w:r>
        <w:rPr>
          <w:rtl/>
        </w:rPr>
        <w:tab/>
      </w:r>
      <w:r w:rsidR="00F2487B">
        <w:rPr>
          <w:rFonts w:hint="cs"/>
          <w:rtl/>
        </w:rPr>
        <w:t xml:space="preserve">الأسلوب </w:t>
      </w:r>
      <w:r w:rsidR="00F2487B">
        <w:t>A</w:t>
      </w:r>
      <w:r w:rsidR="0002301B">
        <w:rPr>
          <w:rFonts w:hint="cs"/>
          <w:rtl/>
        </w:rPr>
        <w:t xml:space="preserve"> </w:t>
      </w:r>
      <w:r w:rsidR="00ED28DA">
        <w:rPr>
          <w:rFonts w:hint="cs"/>
          <w:rtl/>
        </w:rPr>
        <w:t>-</w:t>
      </w:r>
      <w:r w:rsidR="0002301B">
        <w:rPr>
          <w:rFonts w:hint="cs"/>
          <w:rtl/>
        </w:rPr>
        <w:t xml:space="preserve"> لا توزيع جديد </w:t>
      </w:r>
      <w:r w:rsidR="0002301B" w:rsidRPr="00431196">
        <w:rPr>
          <w:rFonts w:eastAsia="SimSun" w:hint="cs"/>
          <w:rtl/>
        </w:rPr>
        <w:t>للخدمة المتنقلة البحرية الساتلية</w:t>
      </w:r>
      <w:r w:rsidR="00AE76FB">
        <w:rPr>
          <w:rFonts w:eastAsia="SimSun" w:hint="cs"/>
          <w:rtl/>
        </w:rPr>
        <w:t>، ولا تغي</w:t>
      </w:r>
      <w:r w:rsidR="00995ED6">
        <w:rPr>
          <w:rFonts w:eastAsia="SimSun" w:hint="cs"/>
          <w:rtl/>
        </w:rPr>
        <w:t>ي</w:t>
      </w:r>
      <w:r w:rsidR="00AE76FB">
        <w:rPr>
          <w:rFonts w:eastAsia="SimSun" w:hint="cs"/>
          <w:rtl/>
        </w:rPr>
        <w:t>ر على لوائح الراديو.</w:t>
      </w:r>
    </w:p>
    <w:p w:rsidR="00F2487B" w:rsidRDefault="001546ED" w:rsidP="00ED28DA">
      <w:pPr>
        <w:pStyle w:val="enumlev1"/>
        <w:rPr>
          <w:rtl/>
        </w:rPr>
      </w:pPr>
      <w:r w:rsidRPr="001546ED">
        <w:rPr>
          <w:rFonts w:cs="Times New Roman"/>
          <w:rtl/>
        </w:rPr>
        <w:t>•</w:t>
      </w:r>
      <w:r>
        <w:rPr>
          <w:rtl/>
        </w:rPr>
        <w:tab/>
      </w:r>
      <w:r w:rsidR="00F2487B" w:rsidRPr="00271326">
        <w:rPr>
          <w:rFonts w:hint="cs"/>
          <w:spacing w:val="-6"/>
          <w:rtl/>
        </w:rPr>
        <w:t xml:space="preserve">الأسلوب </w:t>
      </w:r>
      <w:r w:rsidR="00F2487B" w:rsidRPr="00271326">
        <w:rPr>
          <w:spacing w:val="-6"/>
        </w:rPr>
        <w:t>B</w:t>
      </w:r>
      <w:r w:rsidR="00AE76FB" w:rsidRPr="00271326">
        <w:rPr>
          <w:rFonts w:hint="cs"/>
          <w:spacing w:val="-6"/>
          <w:rtl/>
        </w:rPr>
        <w:t xml:space="preserve"> </w:t>
      </w:r>
      <w:r w:rsidR="00ED28DA">
        <w:rPr>
          <w:rFonts w:hint="cs"/>
          <w:spacing w:val="-6"/>
          <w:rtl/>
        </w:rPr>
        <w:t>-</w:t>
      </w:r>
      <w:r w:rsidR="00AE76FB" w:rsidRPr="00271326">
        <w:rPr>
          <w:rFonts w:hint="cs"/>
          <w:spacing w:val="-6"/>
          <w:rtl/>
        </w:rPr>
        <w:t xml:space="preserve"> توزيع جديد </w:t>
      </w:r>
      <w:r w:rsidR="00AE76FB" w:rsidRPr="00271326">
        <w:rPr>
          <w:rFonts w:eastAsia="SimSun" w:hint="cs"/>
          <w:spacing w:val="-6"/>
          <w:rtl/>
        </w:rPr>
        <w:t>للخدمة المتنقلة البحرية الساتلية في كلا النطاقين</w:t>
      </w:r>
      <w:r w:rsidR="00271326" w:rsidRPr="00271326">
        <w:rPr>
          <w:rFonts w:hint="eastAsia"/>
          <w:spacing w:val="-6"/>
          <w:rtl/>
        </w:rPr>
        <w:t> </w:t>
      </w:r>
      <w:r w:rsidR="00AE76FB" w:rsidRPr="00271326">
        <w:rPr>
          <w:spacing w:val="-6"/>
        </w:rPr>
        <w:t>MHz</w:t>
      </w:r>
      <w:r w:rsidR="00271326" w:rsidRPr="00271326">
        <w:rPr>
          <w:spacing w:val="-6"/>
        </w:rPr>
        <w:t> 7 750</w:t>
      </w:r>
      <w:r w:rsidR="00271326" w:rsidRPr="00271326">
        <w:rPr>
          <w:spacing w:val="-6"/>
        </w:rPr>
        <w:noBreakHyphen/>
        <w:t>7 375</w:t>
      </w:r>
      <w:r w:rsidR="00AE76FB" w:rsidRPr="00271326">
        <w:rPr>
          <w:rFonts w:hint="cs"/>
          <w:spacing w:val="-6"/>
          <w:rtl/>
        </w:rPr>
        <w:t xml:space="preserve"> و</w:t>
      </w:r>
      <w:r w:rsidR="00AE76FB" w:rsidRPr="00271326">
        <w:rPr>
          <w:spacing w:val="-6"/>
        </w:rPr>
        <w:t>MHz</w:t>
      </w:r>
      <w:r w:rsidR="00271326" w:rsidRPr="00271326">
        <w:rPr>
          <w:spacing w:val="-6"/>
        </w:rPr>
        <w:t> 8 400</w:t>
      </w:r>
      <w:r w:rsidR="00271326" w:rsidRPr="00271326">
        <w:rPr>
          <w:spacing w:val="-6"/>
        </w:rPr>
        <w:noBreakHyphen/>
        <w:t>8 025</w:t>
      </w:r>
      <w:r w:rsidR="00AE76FB">
        <w:rPr>
          <w:rFonts w:hint="cs"/>
          <w:rtl/>
        </w:rPr>
        <w:t>.</w:t>
      </w:r>
    </w:p>
    <w:p w:rsidR="00AE76FB" w:rsidRPr="00F2487B" w:rsidRDefault="00AE76FB" w:rsidP="00271326">
      <w:pPr>
        <w:rPr>
          <w:rtl/>
          <w:lang w:bidi="ar-EG"/>
        </w:rPr>
      </w:pPr>
      <w:r>
        <w:rPr>
          <w:rFonts w:hint="cs"/>
          <w:rtl/>
        </w:rPr>
        <w:t xml:space="preserve">ومع أنه تم توفير خيارين اثنين في الأسلوب </w:t>
      </w:r>
      <w:r>
        <w:t>B</w:t>
      </w:r>
      <w:r>
        <w:rPr>
          <w:rFonts w:hint="cs"/>
          <w:rtl/>
          <w:lang w:bidi="ar-EG"/>
        </w:rPr>
        <w:t xml:space="preserve"> لمعالجة التداخل المحتمل من المحطات الأرضية </w:t>
      </w:r>
      <w:r w:rsidRPr="00431196">
        <w:rPr>
          <w:rFonts w:eastAsia="SimSun" w:hint="cs"/>
          <w:rtl/>
        </w:rPr>
        <w:t>للخدمة المتنقلة البحرية الساتلية</w:t>
      </w:r>
      <w:r>
        <w:rPr>
          <w:rFonts w:eastAsia="SimSun" w:hint="cs"/>
          <w:rtl/>
        </w:rPr>
        <w:t xml:space="preserve"> على</w:t>
      </w:r>
      <w:r w:rsidR="00271326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 xml:space="preserve">الخدمات القائمة فما يزال هناك خلاف واسع في المناقشات. ونظراً إلى التوزع الشديد للمحطات في خدمة استكشاف الأرض الساتلية، والخدمة الثابتة، وخدمة الأبحاث الفضائية في المناطق القريبة من </w:t>
      </w:r>
      <w:r w:rsidR="00995ED6">
        <w:rPr>
          <w:rFonts w:eastAsia="SimSun" w:hint="cs"/>
          <w:rtl/>
        </w:rPr>
        <w:t>البحار</w:t>
      </w:r>
      <w:r>
        <w:rPr>
          <w:rFonts w:eastAsia="SimSun" w:hint="cs"/>
          <w:rtl/>
        </w:rPr>
        <w:t xml:space="preserve"> في النطاق</w:t>
      </w:r>
      <w:r w:rsidR="00271326">
        <w:rPr>
          <w:rFonts w:hint="eastAsia"/>
          <w:rtl/>
        </w:rPr>
        <w:t> </w:t>
      </w:r>
      <w:r w:rsidRPr="001D1781">
        <w:t>MHz</w:t>
      </w:r>
      <w:r w:rsidR="00271326">
        <w:t> </w:t>
      </w:r>
      <w:r w:rsidR="00271326" w:rsidRPr="001D1781">
        <w:t>8 400</w:t>
      </w:r>
      <w:r w:rsidR="00271326">
        <w:noBreakHyphen/>
      </w:r>
      <w:r w:rsidR="00271326" w:rsidRPr="001D1781">
        <w:t>8 025</w:t>
      </w:r>
      <w:r>
        <w:rPr>
          <w:rFonts w:hint="cs"/>
          <w:rtl/>
        </w:rPr>
        <w:t xml:space="preserve"> فإن الصين تعتقد أن من الصعب تنفيذ كلا الخيارين </w:t>
      </w:r>
      <w:r>
        <w:t>A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في الأسلوب </w:t>
      </w:r>
      <w:r>
        <w:rPr>
          <w:lang w:bidi="ar-EG"/>
        </w:rPr>
        <w:t>B</w:t>
      </w:r>
      <w:r>
        <w:rPr>
          <w:rFonts w:hint="cs"/>
          <w:rtl/>
          <w:lang w:bidi="ar-EG"/>
        </w:rPr>
        <w:t>.</w:t>
      </w:r>
    </w:p>
    <w:p w:rsidR="00AE76FB" w:rsidRDefault="00F2487B" w:rsidP="00ED28DA">
      <w:pPr>
        <w:pStyle w:val="enumlev1"/>
        <w:rPr>
          <w:rtl/>
        </w:rPr>
      </w:pPr>
      <w:r w:rsidRPr="001546ED">
        <w:rPr>
          <w:rFonts w:cs="Times New Roman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الأسلوب </w:t>
      </w:r>
      <w:r>
        <w:t>C</w:t>
      </w:r>
      <w:r w:rsidR="00AE76FB">
        <w:rPr>
          <w:rFonts w:hint="cs"/>
          <w:rtl/>
        </w:rPr>
        <w:t xml:space="preserve"> </w:t>
      </w:r>
      <w:r w:rsidR="00ED28DA">
        <w:rPr>
          <w:rFonts w:hint="cs"/>
          <w:rtl/>
        </w:rPr>
        <w:t>-</w:t>
      </w:r>
      <w:r w:rsidR="00AE76FB">
        <w:rPr>
          <w:rFonts w:hint="cs"/>
          <w:rtl/>
        </w:rPr>
        <w:t xml:space="preserve"> توزيع جديد </w:t>
      </w:r>
      <w:r w:rsidR="00AE76FB" w:rsidRPr="00431196">
        <w:rPr>
          <w:rFonts w:eastAsia="SimSun" w:hint="cs"/>
          <w:rtl/>
        </w:rPr>
        <w:t>للخدمة المتنقلة البحرية الساتلية</w:t>
      </w:r>
      <w:r w:rsidR="00AE76FB">
        <w:rPr>
          <w:rFonts w:eastAsia="SimSun" w:hint="cs"/>
          <w:rtl/>
        </w:rPr>
        <w:t xml:space="preserve"> في النطاق</w:t>
      </w:r>
      <w:r w:rsidR="00441F19">
        <w:rPr>
          <w:rFonts w:hint="eastAsia"/>
          <w:rtl/>
        </w:rPr>
        <w:t> </w:t>
      </w:r>
      <w:r w:rsidR="00AE76FB" w:rsidRPr="001D1781">
        <w:t>MHz</w:t>
      </w:r>
      <w:r w:rsidR="00271326">
        <w:t> 7 750</w:t>
      </w:r>
      <w:r w:rsidR="00271326">
        <w:noBreakHyphen/>
        <w:t>7 375</w:t>
      </w:r>
      <w:r w:rsidR="00AE76FB">
        <w:rPr>
          <w:rFonts w:hint="cs"/>
          <w:rtl/>
        </w:rPr>
        <w:t xml:space="preserve"> للوصلة الهابطة فقط، </w:t>
      </w:r>
      <w:r w:rsidR="00995ED6">
        <w:rPr>
          <w:rFonts w:hint="cs"/>
          <w:rtl/>
        </w:rPr>
        <w:t>وعدم</w:t>
      </w:r>
      <w:r w:rsidR="00AE76FB">
        <w:rPr>
          <w:rFonts w:hint="cs"/>
          <w:rtl/>
        </w:rPr>
        <w:t xml:space="preserve"> إدخال أي تغيير على النطاق</w:t>
      </w:r>
      <w:r w:rsidR="00441F19">
        <w:rPr>
          <w:rFonts w:hint="eastAsia"/>
          <w:rtl/>
        </w:rPr>
        <w:t> </w:t>
      </w:r>
      <w:r w:rsidR="00AE76FB" w:rsidRPr="001D1781">
        <w:t>MHz</w:t>
      </w:r>
      <w:r w:rsidR="00441F19">
        <w:t> </w:t>
      </w:r>
      <w:r w:rsidR="00441F19" w:rsidRPr="001D1781">
        <w:t>8 400</w:t>
      </w:r>
      <w:r w:rsidR="00441F19">
        <w:noBreakHyphen/>
      </w:r>
      <w:r w:rsidR="00441F19" w:rsidRPr="001D1781">
        <w:t>8</w:t>
      </w:r>
      <w:r w:rsidR="00441F19">
        <w:t> </w:t>
      </w:r>
      <w:r w:rsidR="00441F19" w:rsidRPr="001D1781">
        <w:t>025</w:t>
      </w:r>
      <w:r w:rsidR="00AE76FB">
        <w:rPr>
          <w:rFonts w:hint="cs"/>
          <w:rtl/>
        </w:rPr>
        <w:t>.</w:t>
      </w:r>
    </w:p>
    <w:p w:rsidR="004A301D" w:rsidRDefault="004A301D" w:rsidP="00AE76FB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المقترح</w:t>
      </w:r>
    </w:p>
    <w:p w:rsidR="00AE76FB" w:rsidRPr="00ED28DA" w:rsidRDefault="00FB5D04" w:rsidP="00441F19">
      <w:pPr>
        <w:rPr>
          <w:rtl/>
        </w:rPr>
      </w:pPr>
      <w:r w:rsidRPr="00ED28DA">
        <w:rPr>
          <w:rFonts w:hint="cs"/>
          <w:rtl/>
          <w:lang w:bidi="ar-EG"/>
        </w:rPr>
        <w:t xml:space="preserve">في ضوء نتائج الدراسات المتاحة حالياً فإن الصين لن تساند أي توزيع جديد </w:t>
      </w:r>
      <w:r w:rsidRPr="00ED28DA">
        <w:rPr>
          <w:rFonts w:eastAsia="SimSun" w:hint="cs"/>
          <w:rtl/>
        </w:rPr>
        <w:t>للخدمة المتنقلة البحرية الساتلية في</w:t>
      </w:r>
      <w:r w:rsidR="00441F19" w:rsidRPr="00ED28DA">
        <w:rPr>
          <w:rFonts w:eastAsia="SimSun" w:hint="eastAsia"/>
          <w:rtl/>
        </w:rPr>
        <w:t> </w:t>
      </w:r>
      <w:r w:rsidRPr="00ED28DA">
        <w:rPr>
          <w:rFonts w:hint="cs"/>
          <w:rtl/>
        </w:rPr>
        <w:t>النطاق</w:t>
      </w:r>
      <w:r w:rsidR="00441F19" w:rsidRPr="00ED28DA">
        <w:rPr>
          <w:rFonts w:hint="eastAsia"/>
          <w:rtl/>
        </w:rPr>
        <w:t> </w:t>
      </w:r>
      <w:r w:rsidR="00441F19" w:rsidRPr="00ED28DA">
        <w:t>MHz 8 400</w:t>
      </w:r>
      <w:r w:rsidR="00441F19" w:rsidRPr="00ED28DA">
        <w:noBreakHyphen/>
        <w:t>8 025</w:t>
      </w:r>
      <w:r w:rsidRPr="00ED28DA">
        <w:rPr>
          <w:rFonts w:hint="cs"/>
          <w:rtl/>
        </w:rPr>
        <w:t>.</w:t>
      </w:r>
    </w:p>
    <w:p w:rsidR="00FB5D04" w:rsidRPr="00320A92" w:rsidRDefault="00FB5D04" w:rsidP="00320A92">
      <w:pPr>
        <w:rPr>
          <w:spacing w:val="-6"/>
          <w:rtl/>
        </w:rPr>
      </w:pPr>
      <w:r w:rsidRPr="00320A92">
        <w:rPr>
          <w:rFonts w:hint="cs"/>
          <w:spacing w:val="-6"/>
          <w:rtl/>
        </w:rPr>
        <w:t xml:space="preserve">وبالنظر إلى أن هناك عدداً كبيراً من المحطات الأرضية المنشورة بكثافة في المناطق الساحلية حول العالم فإن من المحتمل أن تتأثر المحطات المتلقية الأرضية </w:t>
      </w:r>
      <w:r w:rsidRPr="00320A92">
        <w:rPr>
          <w:rFonts w:eastAsia="SimSun" w:hint="cs"/>
          <w:spacing w:val="-6"/>
          <w:rtl/>
        </w:rPr>
        <w:t>للخدمة المتنقلة البحرية الساتلية بالتداخل من كل هذه المحطات الأرضية. وفضلاً عن ذلك فلم تنفذ أية دراسات</w:t>
      </w:r>
      <w:r w:rsidR="00441F19" w:rsidRPr="00320A92">
        <w:rPr>
          <w:rFonts w:eastAsia="SimSun" w:hint="eastAsia"/>
          <w:spacing w:val="-6"/>
          <w:rtl/>
        </w:rPr>
        <w:t> </w:t>
      </w:r>
      <w:r w:rsidRPr="00320A92">
        <w:rPr>
          <w:rFonts w:eastAsia="SimSun" w:hint="cs"/>
          <w:spacing w:val="-6"/>
          <w:rtl/>
        </w:rPr>
        <w:t>عن التداخل من الخدمات القائمة على الخدمة المتنقلة البحرية الساتلية كما م تُحدد كيفية حماية المحطات الأرضية من التداخل الضار. ولذلك فإن الصين لن تساند أية توزيعات جديدة للخدمة المتنقلة البحرية الساتلية في النطاق</w:t>
      </w:r>
      <w:r w:rsidR="00441F19" w:rsidRPr="00320A92">
        <w:rPr>
          <w:rFonts w:eastAsia="SimSun" w:hint="eastAsia"/>
          <w:spacing w:val="-6"/>
          <w:rtl/>
        </w:rPr>
        <w:t> </w:t>
      </w:r>
      <w:r w:rsidR="00441F19" w:rsidRPr="00320A92">
        <w:rPr>
          <w:spacing w:val="-6"/>
        </w:rPr>
        <w:t>MHz 7 750</w:t>
      </w:r>
      <w:r w:rsidR="00441F19" w:rsidRPr="00320A92">
        <w:rPr>
          <w:spacing w:val="-6"/>
        </w:rPr>
        <w:noBreakHyphen/>
        <w:t>7 375</w:t>
      </w:r>
      <w:r w:rsidR="00320A92">
        <w:rPr>
          <w:rFonts w:hint="eastAsia"/>
          <w:spacing w:val="-6"/>
          <w:rtl/>
        </w:rPr>
        <w:t> </w:t>
      </w:r>
      <w:r w:rsidRPr="00320A92">
        <w:rPr>
          <w:rFonts w:hint="cs"/>
          <w:spacing w:val="-6"/>
          <w:rtl/>
        </w:rPr>
        <w:t>أيضا</w:t>
      </w:r>
      <w:r w:rsidR="00F013FE" w:rsidRPr="00320A92">
        <w:rPr>
          <w:rFonts w:hint="cs"/>
          <w:spacing w:val="-6"/>
          <w:rtl/>
        </w:rPr>
        <w:t>ً</w:t>
      </w:r>
      <w:r w:rsidRPr="00320A92">
        <w:rPr>
          <w:rFonts w:hint="cs"/>
          <w:spacing w:val="-6"/>
          <w:rtl/>
        </w:rPr>
        <w:t>.</w:t>
      </w:r>
    </w:p>
    <w:p w:rsidR="00F2487B" w:rsidRDefault="00FB5D04" w:rsidP="00441F19">
      <w:pPr>
        <w:rPr>
          <w:lang w:bidi="ar-EG"/>
        </w:rPr>
      </w:pPr>
      <w:r>
        <w:rPr>
          <w:rFonts w:hint="cs"/>
          <w:rtl/>
        </w:rPr>
        <w:t xml:space="preserve">وفي ضوء ما تقدم فإن الصين تحبذ الأسلوب </w:t>
      </w:r>
      <w:r>
        <w:t>A</w:t>
      </w:r>
      <w:r>
        <w:rPr>
          <w:rFonts w:hint="cs"/>
          <w:rtl/>
          <w:lang w:bidi="ar-EG"/>
        </w:rPr>
        <w:t xml:space="preserve"> (عدم إجراء أي تغيير). كما أن من المقترح بالتالي إلغاء القرار</w:t>
      </w:r>
      <w:r w:rsidR="00441F19">
        <w:rPr>
          <w:rFonts w:hint="eastAsia"/>
          <w:rtl/>
          <w:lang w:bidi="ar-EG"/>
        </w:rPr>
        <w:t> </w:t>
      </w:r>
      <w:r w:rsidRPr="001D1781">
        <w:rPr>
          <w:lang w:eastAsia="zh-CN"/>
        </w:rPr>
        <w:t>758</w:t>
      </w:r>
      <w:r w:rsidR="00320A92">
        <w:t> </w:t>
      </w:r>
      <w:bookmarkStart w:id="1" w:name="_GoBack"/>
      <w:bookmarkEnd w:id="1"/>
      <w:r w:rsidRPr="001D1781">
        <w:t>(WRC</w:t>
      </w:r>
      <w:r w:rsidRPr="001D1781">
        <w:noBreakHyphen/>
        <w:t>12)</w:t>
      </w:r>
      <w:r>
        <w:rPr>
          <w:rFonts w:hint="cs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A2F8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A2F88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5A2F8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73CE3" w:rsidRDefault="005A2F88">
      <w:pPr>
        <w:pStyle w:val="Proposal"/>
      </w:pPr>
      <w:r>
        <w:rPr>
          <w:u w:val="single"/>
        </w:rPr>
        <w:t>NOC</w:t>
      </w:r>
      <w:r>
        <w:tab/>
        <w:t>CHN/62A9A2/1</w:t>
      </w:r>
    </w:p>
    <w:p w:rsidR="009F37C9" w:rsidRDefault="005A2F88">
      <w:pPr>
        <w:pStyle w:val="Tabletitle"/>
        <w:rPr>
          <w:rtl/>
        </w:rPr>
        <w:pPrChange w:id="3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8038CB">
        <w:trPr>
          <w:cantSplit/>
          <w:tblHeader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8038CB">
        <w:trPr>
          <w:cantSplit/>
          <w:tblHeader/>
        </w:trPr>
        <w:tc>
          <w:tcPr>
            <w:tcW w:w="3119" w:type="dxa"/>
          </w:tcPr>
          <w:p w:rsidR="00475D0D" w:rsidRDefault="005A2F8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5A2F8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5A2F8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7 300-7 250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461.5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7 450-7 300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  <w:r w:rsidR="005A2F88">
              <w:rPr>
                <w:rtl/>
              </w:rPr>
              <w:t xml:space="preserve"> باستثناء المتنقلة للطيران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461.5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7 550-7 450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أرصاد جوية ساتلية</w:t>
            </w:r>
            <w:r w:rsidR="005A2F88"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  <w:r w:rsidR="005A2F88">
              <w:rPr>
                <w:rtl/>
              </w:rPr>
              <w:t xml:space="preserve"> باستثناء المتنقلة للطيران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461A.5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7 750-7 550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  <w:r w:rsidR="005A2F88">
              <w:rPr>
                <w:rtl/>
              </w:rPr>
              <w:t xml:space="preserve"> باستثناء المتنقلة للطيران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 xml:space="preserve">7 </w:t>
            </w:r>
            <w:r>
              <w:rPr>
                <w:rStyle w:val="Tablefreq"/>
              </w:rPr>
              <w:t>900</w:t>
            </w:r>
            <w:r w:rsidRPr="0048256A">
              <w:rPr>
                <w:rStyle w:val="Tablefreq"/>
              </w:rPr>
              <w:t>-7 750</w:t>
            </w:r>
            <w:r w:rsidR="00E2050C">
              <w:rPr>
                <w:rtl/>
              </w:rPr>
              <w:tab/>
            </w:r>
            <w:r w:rsidRPr="00154854"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أرصاد جوية ساتلية</w:t>
            </w:r>
            <w:r w:rsidR="005A2F88">
              <w:rPr>
                <w:rtl/>
              </w:rPr>
              <w:t xml:space="preserve"> (فضاء-أرض) </w:t>
            </w:r>
            <w:r w:rsidRPr="00E2050C">
              <w:rPr>
                <w:rStyle w:val="Artref"/>
                <w:b w:val="0"/>
              </w:rPr>
              <w:t>461B.5</w:t>
            </w:r>
            <w:r w:rsidR="00441F19">
              <w:t xml:space="preserve"> 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  <w:r w:rsidR="005A2F88">
              <w:rPr>
                <w:rtl/>
              </w:rPr>
              <w:t xml:space="preserve"> باستثناء المتنقلة للطيران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8 025-7 900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(أرض-فضاء)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461.5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8 175-8 025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(أرض-فضاء)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 xml:space="preserve">متنقلة </w:t>
            </w:r>
            <w:r w:rsidRPr="00E2050C">
              <w:rPr>
                <w:rStyle w:val="Artref"/>
                <w:b w:val="0"/>
              </w:rPr>
              <w:t>463.5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462A.5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8 215-8 175</w:t>
            </w:r>
            <w:r w:rsidR="00E2050C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(أرض-فضاء)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أرصاد جوية ساتلية</w:t>
            </w:r>
            <w:r w:rsidR="005A2F88">
              <w:rPr>
                <w:rtl/>
              </w:rPr>
              <w:t xml:space="preserve"> (أرض-فضاء)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 xml:space="preserve">متنقلة </w:t>
            </w:r>
            <w:r w:rsidR="005A2F88">
              <w:rPr>
                <w:rFonts w:hint="cs"/>
                <w:b/>
                <w:bCs/>
                <w:rtl/>
              </w:rPr>
              <w:t xml:space="preserve"> </w:t>
            </w:r>
            <w:r w:rsidRPr="00E2050C">
              <w:rPr>
                <w:rStyle w:val="Artref"/>
                <w:b w:val="0"/>
              </w:rPr>
              <w:t>463.5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462A.5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lastRenderedPageBreak/>
              <w:t>8 400-8 215</w:t>
            </w:r>
            <w:r w:rsidR="00E2050C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2050C" w:rsidP="005F1F1C">
            <w:pPr>
              <w:pStyle w:val="TabletextS5"/>
              <w:rPr>
                <w:b/>
                <w:bCs/>
              </w:rPr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ثابتة ساتلية</w:t>
            </w:r>
            <w:r w:rsidR="005A2F88">
              <w:rPr>
                <w:rtl/>
              </w:rPr>
              <w:t xml:space="preserve"> (أرض-فضاء)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>متنقلة</w:t>
            </w:r>
            <w:r w:rsidR="005A2F88">
              <w:rPr>
                <w:rFonts w:hint="cs"/>
                <w:b/>
                <w:bCs/>
                <w:rtl/>
              </w:rPr>
              <w:t xml:space="preserve"> </w:t>
            </w:r>
            <w:r w:rsidR="005A2F88">
              <w:rPr>
                <w:b/>
                <w:bCs/>
                <w:rtl/>
              </w:rPr>
              <w:t xml:space="preserve"> </w:t>
            </w:r>
            <w:r w:rsidRPr="00E2050C">
              <w:rPr>
                <w:rStyle w:val="Artref"/>
                <w:b w:val="0"/>
              </w:rPr>
              <w:t>463.5</w:t>
            </w:r>
          </w:p>
          <w:p w:rsidR="00475D0D" w:rsidRPr="002453B6" w:rsidRDefault="00E2050C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2050C">
              <w:rPr>
                <w:rStyle w:val="Artref"/>
                <w:b w:val="0"/>
              </w:rPr>
              <w:t>462A.5</w:t>
            </w:r>
          </w:p>
        </w:tc>
      </w:tr>
      <w:tr w:rsidR="00475D0D" w:rsidTr="008038CB">
        <w:trPr>
          <w:cantSplit/>
        </w:trPr>
        <w:tc>
          <w:tcPr>
            <w:tcW w:w="9356" w:type="dxa"/>
            <w:gridSpan w:val="3"/>
          </w:tcPr>
          <w:p w:rsidR="00475D0D" w:rsidRDefault="005A2F88" w:rsidP="005F1F1C">
            <w:pPr>
              <w:pStyle w:val="TabletextS5"/>
            </w:pPr>
            <w:r w:rsidRPr="0048256A">
              <w:rPr>
                <w:rStyle w:val="Tablefreq"/>
              </w:rPr>
              <w:t>8 500-8 400</w:t>
            </w:r>
            <w:r w:rsidR="00E2050C"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</w:p>
          <w:p w:rsidR="00475D0D" w:rsidRDefault="00E2050C" w:rsidP="005F1F1C">
            <w:pPr>
              <w:pStyle w:val="TabletextS5"/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  <w:lang w:val="fr-CH"/>
              </w:rPr>
              <w:t>متنقلة</w:t>
            </w:r>
            <w:r w:rsidR="005A2F88">
              <w:rPr>
                <w:rtl/>
              </w:rPr>
              <w:t xml:space="preserve"> </w:t>
            </w:r>
            <w:r w:rsidR="005A2F88">
              <w:rPr>
                <w:rtl/>
                <w:lang w:val="fr-CH"/>
              </w:rPr>
              <w:t>باستثناء</w:t>
            </w:r>
            <w:r w:rsidR="005A2F88">
              <w:rPr>
                <w:rtl/>
              </w:rPr>
              <w:t xml:space="preserve"> </w:t>
            </w:r>
            <w:r w:rsidR="005A2F88">
              <w:rPr>
                <w:rtl/>
                <w:lang w:val="fr-CH"/>
              </w:rPr>
              <w:t>المتنقلة</w:t>
            </w:r>
            <w:r w:rsidR="005A2F88">
              <w:rPr>
                <w:rtl/>
              </w:rPr>
              <w:t xml:space="preserve"> </w:t>
            </w:r>
            <w:r w:rsidR="005A2F88">
              <w:rPr>
                <w:rtl/>
                <w:lang w:val="fr-CH"/>
              </w:rPr>
              <w:t>للطيران</w:t>
            </w:r>
          </w:p>
          <w:p w:rsidR="00475D0D" w:rsidRDefault="00E2050C" w:rsidP="005F1F1C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</w:r>
            <w:r w:rsidR="005A2F88">
              <w:rPr>
                <w:b/>
                <w:bCs/>
                <w:rtl/>
              </w:rPr>
              <w:t xml:space="preserve">أبحاث فضائية </w:t>
            </w:r>
            <w:r w:rsidR="005A2F88">
              <w:rPr>
                <w:rtl/>
              </w:rPr>
              <w:t xml:space="preserve"> (فضاء-أرض)</w:t>
            </w:r>
            <w:r w:rsidR="005A2F88">
              <w:rPr>
                <w:rFonts w:hint="cs"/>
                <w:rtl/>
              </w:rPr>
              <w:t xml:space="preserve"> </w:t>
            </w:r>
            <w:r w:rsidR="005A2F88">
              <w:rPr>
                <w:rtl/>
              </w:rPr>
              <w:t xml:space="preserve"> </w:t>
            </w:r>
            <w:r w:rsidR="005A2F88">
              <w:t>465.5</w:t>
            </w:r>
            <w:r w:rsidR="005A2F88">
              <w:rPr>
                <w:rtl/>
              </w:rPr>
              <w:t xml:space="preserve">  </w:t>
            </w:r>
            <w:r w:rsidR="005A2F88">
              <w:t>466.5</w:t>
            </w:r>
          </w:p>
        </w:tc>
      </w:tr>
    </w:tbl>
    <w:p w:rsidR="00521477" w:rsidRPr="00441F19" w:rsidRDefault="005A2F88" w:rsidP="00441F19">
      <w:pPr>
        <w:pStyle w:val="Reasons"/>
        <w:rPr>
          <w:rFonts w:eastAsia="SimSun"/>
          <w:b w:val="0"/>
          <w:bCs w:val="0"/>
          <w:rtl/>
        </w:rPr>
      </w:pPr>
      <w:r w:rsidRPr="00441F19">
        <w:rPr>
          <w:rtl/>
        </w:rPr>
        <w:t>الأسباب:</w:t>
      </w:r>
      <w:r w:rsidRPr="00441F19">
        <w:rPr>
          <w:b w:val="0"/>
          <w:bCs w:val="0"/>
        </w:rPr>
        <w:tab/>
      </w:r>
      <w:r w:rsidR="00FB5D04" w:rsidRPr="00441F19">
        <w:rPr>
          <w:rFonts w:eastAsia="SimSun" w:hint="cs"/>
          <w:b w:val="0"/>
          <w:bCs w:val="0"/>
          <w:rtl/>
        </w:rPr>
        <w:t>في النطاق</w:t>
      </w:r>
      <w:r w:rsidR="00441F19" w:rsidRPr="00441F19">
        <w:rPr>
          <w:rFonts w:eastAsia="SimSun" w:hint="eastAsia"/>
          <w:b w:val="0"/>
          <w:bCs w:val="0"/>
          <w:rtl/>
        </w:rPr>
        <w:t> </w:t>
      </w:r>
      <w:r w:rsidR="00FB5D04" w:rsidRPr="00441F19">
        <w:rPr>
          <w:b w:val="0"/>
          <w:bCs w:val="0"/>
        </w:rPr>
        <w:t>MHz</w:t>
      </w:r>
      <w:r w:rsidR="00441F19" w:rsidRPr="00441F19">
        <w:rPr>
          <w:b w:val="0"/>
          <w:bCs w:val="0"/>
        </w:rPr>
        <w:t> 7 750</w:t>
      </w:r>
      <w:r w:rsidR="00441F19" w:rsidRPr="00441F19">
        <w:rPr>
          <w:b w:val="0"/>
          <w:bCs w:val="0"/>
        </w:rPr>
        <w:noBreakHyphen/>
        <w:t>7 375</w:t>
      </w:r>
      <w:r w:rsidR="00FB5D04" w:rsidRPr="00441F19">
        <w:rPr>
          <w:rFonts w:hint="cs"/>
          <w:b w:val="0"/>
          <w:bCs w:val="0"/>
          <w:rtl/>
        </w:rPr>
        <w:t xml:space="preserve"> </w:t>
      </w:r>
      <w:r w:rsidR="00521477" w:rsidRPr="00441F19">
        <w:rPr>
          <w:rFonts w:hint="cs"/>
          <w:b w:val="0"/>
          <w:bCs w:val="0"/>
          <w:rtl/>
        </w:rPr>
        <w:t xml:space="preserve">فإن من المحتمل أن تتأثر تطبيقات المحطات الأرضية </w:t>
      </w:r>
      <w:r w:rsidR="00521477" w:rsidRPr="00441F19">
        <w:rPr>
          <w:rFonts w:eastAsia="SimSun" w:hint="cs"/>
          <w:b w:val="0"/>
          <w:bCs w:val="0"/>
          <w:rtl/>
        </w:rPr>
        <w:t>للخدمة المتنقلة البحرية الساتلية بالتداخل من المحطات الأرضية</w:t>
      </w:r>
      <w:r w:rsidR="00FB5D04" w:rsidRPr="00441F19">
        <w:rPr>
          <w:rFonts w:hint="cs"/>
          <w:b w:val="0"/>
          <w:bCs w:val="0"/>
          <w:rtl/>
        </w:rPr>
        <w:t xml:space="preserve"> المنشورة في المناطق الساحلية حول العالم</w:t>
      </w:r>
      <w:r w:rsidR="00521477" w:rsidRPr="00441F19">
        <w:rPr>
          <w:rFonts w:hint="cs"/>
          <w:b w:val="0"/>
          <w:bCs w:val="0"/>
          <w:rtl/>
        </w:rPr>
        <w:t xml:space="preserve">، كما أن مسألة كيفية حماية المحطات </w:t>
      </w:r>
      <w:r w:rsidR="00FB5D04" w:rsidRPr="00441F19">
        <w:rPr>
          <w:rFonts w:hint="cs"/>
          <w:b w:val="0"/>
          <w:bCs w:val="0"/>
          <w:rtl/>
        </w:rPr>
        <w:t xml:space="preserve">المتلقية الأرضية </w:t>
      </w:r>
      <w:r w:rsidR="00FB5D04" w:rsidRPr="00441F19">
        <w:rPr>
          <w:rFonts w:eastAsia="SimSun" w:hint="cs"/>
          <w:b w:val="0"/>
          <w:bCs w:val="0"/>
          <w:rtl/>
        </w:rPr>
        <w:t xml:space="preserve">للخدمة المتنقلة البحرية الساتلية </w:t>
      </w:r>
      <w:r w:rsidR="00521477" w:rsidRPr="00441F19">
        <w:rPr>
          <w:rFonts w:eastAsia="SimSun" w:hint="cs"/>
          <w:b w:val="0"/>
          <w:bCs w:val="0"/>
          <w:rtl/>
        </w:rPr>
        <w:t>من التداخل الضار لم تُحسم بعد.</w:t>
      </w:r>
    </w:p>
    <w:p w:rsidR="001E1E81" w:rsidRPr="00441F19" w:rsidRDefault="00521477" w:rsidP="00320A92">
      <w:pPr>
        <w:pStyle w:val="Reasons"/>
        <w:rPr>
          <w:b w:val="0"/>
          <w:bCs w:val="0"/>
          <w:spacing w:val="-2"/>
          <w:rtl/>
          <w:lang w:bidi="ar-EG"/>
        </w:rPr>
      </w:pPr>
      <w:r w:rsidRPr="00441F19">
        <w:rPr>
          <w:rFonts w:eastAsia="SimSun" w:hint="cs"/>
          <w:b w:val="0"/>
          <w:bCs w:val="0"/>
          <w:spacing w:val="-2"/>
          <w:rtl/>
        </w:rPr>
        <w:t xml:space="preserve">وفي </w:t>
      </w:r>
      <w:r w:rsidR="00441F19" w:rsidRPr="00441F19">
        <w:rPr>
          <w:rFonts w:hint="cs"/>
          <w:b w:val="0"/>
          <w:bCs w:val="0"/>
          <w:spacing w:val="-2"/>
          <w:rtl/>
        </w:rPr>
        <w:t>النطاق</w:t>
      </w:r>
      <w:r w:rsidR="00441F19" w:rsidRPr="00441F19">
        <w:rPr>
          <w:rFonts w:hint="eastAsia"/>
          <w:b w:val="0"/>
          <w:bCs w:val="0"/>
          <w:spacing w:val="-2"/>
          <w:rtl/>
        </w:rPr>
        <w:t> </w:t>
      </w:r>
      <w:r w:rsidRPr="00441F19">
        <w:rPr>
          <w:b w:val="0"/>
          <w:bCs w:val="0"/>
          <w:spacing w:val="-2"/>
        </w:rPr>
        <w:t>MHz</w:t>
      </w:r>
      <w:r w:rsidR="00441F19" w:rsidRPr="00441F19">
        <w:rPr>
          <w:b w:val="0"/>
          <w:bCs w:val="0"/>
          <w:spacing w:val="-2"/>
        </w:rPr>
        <w:t> 8 400</w:t>
      </w:r>
      <w:r w:rsidR="00441F19" w:rsidRPr="00441F19">
        <w:rPr>
          <w:b w:val="0"/>
          <w:bCs w:val="0"/>
          <w:spacing w:val="-2"/>
        </w:rPr>
        <w:noBreakHyphen/>
        <w:t>8 025</w:t>
      </w:r>
      <w:r w:rsidRPr="00441F19">
        <w:rPr>
          <w:rFonts w:hint="cs"/>
          <w:b w:val="0"/>
          <w:bCs w:val="0"/>
          <w:spacing w:val="-2"/>
          <w:rtl/>
          <w:lang w:bidi="ar-EG"/>
        </w:rPr>
        <w:t xml:space="preserve"> ليس هناك أي توزيع جديد مقترح </w:t>
      </w:r>
      <w:r w:rsidRPr="00441F19">
        <w:rPr>
          <w:rFonts w:eastAsia="SimSun" w:hint="cs"/>
          <w:b w:val="0"/>
          <w:bCs w:val="0"/>
          <w:spacing w:val="-2"/>
          <w:rtl/>
        </w:rPr>
        <w:t>للخدمة المتنقلة البحرية الساتلية</w:t>
      </w:r>
      <w:r w:rsidRPr="00441F19">
        <w:rPr>
          <w:rFonts w:hint="cs"/>
          <w:b w:val="0"/>
          <w:bCs w:val="0"/>
          <w:spacing w:val="-2"/>
          <w:rtl/>
        </w:rPr>
        <w:t xml:space="preserve"> لحماية المحطات الأرضية ومحطات </w:t>
      </w:r>
      <w:r w:rsidRPr="00441F19">
        <w:rPr>
          <w:rFonts w:eastAsia="SimSun" w:hint="cs"/>
          <w:b w:val="0"/>
          <w:bCs w:val="0"/>
          <w:spacing w:val="-2"/>
          <w:rtl/>
          <w:lang w:bidi="ar-JO"/>
        </w:rPr>
        <w:t xml:space="preserve">خدمة </w:t>
      </w:r>
      <w:r w:rsidRPr="00441F19">
        <w:rPr>
          <w:rFonts w:eastAsia="SimSun" w:hint="cs"/>
          <w:b w:val="0"/>
          <w:bCs w:val="0"/>
          <w:spacing w:val="-2"/>
          <w:rtl/>
        </w:rPr>
        <w:t>استكشاف الأرض الساتلية في النطاق ذاته ومحطات خدمة الأبحاث الفضائية في النطاقات المجاورة من التداخل</w:t>
      </w:r>
      <w:r w:rsidR="00320A92">
        <w:rPr>
          <w:rFonts w:eastAsia="SimSun" w:hint="eastAsia"/>
          <w:b w:val="0"/>
          <w:bCs w:val="0"/>
          <w:spacing w:val="-2"/>
          <w:rtl/>
        </w:rPr>
        <w:t> </w:t>
      </w:r>
      <w:r w:rsidRPr="00441F19">
        <w:rPr>
          <w:rFonts w:eastAsia="SimSun" w:hint="cs"/>
          <w:b w:val="0"/>
          <w:bCs w:val="0"/>
          <w:spacing w:val="-2"/>
          <w:rtl/>
        </w:rPr>
        <w:t>الضار.</w:t>
      </w:r>
    </w:p>
    <w:p w:rsidR="00773CE3" w:rsidRDefault="005A2F88">
      <w:pPr>
        <w:pStyle w:val="Proposal"/>
      </w:pPr>
      <w:r>
        <w:t>SUP</w:t>
      </w:r>
      <w:r>
        <w:tab/>
        <w:t>CHN/62A9A2/2</w:t>
      </w:r>
    </w:p>
    <w:p w:rsidR="00D053B6" w:rsidRPr="00F555FE" w:rsidRDefault="005A2F88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4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4"/>
    </w:p>
    <w:p w:rsidR="00D053B6" w:rsidRDefault="005A2F88" w:rsidP="00332847">
      <w:pPr>
        <w:pStyle w:val="Restitle"/>
        <w:spacing w:line="185" w:lineRule="auto"/>
        <w:rPr>
          <w:rtl/>
        </w:rPr>
      </w:pPr>
      <w:bookmarkStart w:id="5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5"/>
    </w:p>
    <w:p w:rsidR="00773CE3" w:rsidRPr="00521477" w:rsidRDefault="005A2F88" w:rsidP="00441F19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21477">
        <w:rPr>
          <w:rFonts w:hint="cs"/>
          <w:b w:val="0"/>
          <w:bCs w:val="0"/>
          <w:rtl/>
        </w:rPr>
        <w:t>أُنجزت الدراسات بشأن إمكانية منح توزيع للخدمة المتنقلة البحرية الساتلية في مدى التردد</w:t>
      </w:r>
      <w:r w:rsidR="00441F19">
        <w:rPr>
          <w:rFonts w:hint="eastAsia"/>
          <w:b w:val="0"/>
          <w:bCs w:val="0"/>
          <w:rtl/>
        </w:rPr>
        <w:t> </w:t>
      </w:r>
      <w:r w:rsidR="00521477" w:rsidRPr="00521477">
        <w:rPr>
          <w:b w:val="0"/>
          <w:bCs w:val="0"/>
        </w:rPr>
        <w:t>GHz 8/7</w:t>
      </w:r>
      <w:r w:rsidR="00521477">
        <w:rPr>
          <w:rFonts w:hint="cs"/>
          <w:b w:val="0"/>
          <w:bCs w:val="0"/>
          <w:rtl/>
        </w:rPr>
        <w:t xml:space="preserve"> التي دعا إليها هذا</w:t>
      </w:r>
      <w:r w:rsidR="00441F19">
        <w:rPr>
          <w:rFonts w:hint="eastAsia"/>
          <w:b w:val="0"/>
          <w:bCs w:val="0"/>
          <w:rtl/>
        </w:rPr>
        <w:t> </w:t>
      </w:r>
      <w:r w:rsidR="00521477">
        <w:rPr>
          <w:rFonts w:hint="cs"/>
          <w:b w:val="0"/>
          <w:bCs w:val="0"/>
          <w:rtl/>
        </w:rPr>
        <w:t>القرار.</w:t>
      </w:r>
    </w:p>
    <w:p w:rsidR="00BB2003" w:rsidRPr="00BB2003" w:rsidRDefault="00BC3487" w:rsidP="00BC3487">
      <w:pPr>
        <w:spacing w:before="600"/>
        <w:jc w:val="center"/>
      </w:pPr>
      <w:r>
        <w:rPr>
          <w:rtl/>
        </w:rPr>
        <w:t>___________</w:t>
      </w:r>
    </w:p>
    <w:sectPr w:rsidR="00BB2003" w:rsidRPr="00BB200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3688A" w:rsidRDefault="00C3688A" w:rsidP="00AC0102">
    <w:pPr>
      <w:pStyle w:val="Footer"/>
    </w:pPr>
    <w:r>
      <w:fldChar w:fldCharType="begin"/>
    </w:r>
    <w:r w:rsidRPr="00C3688A">
      <w:instrText xml:space="preserve"> FILENAME \p \* MERGEFORMAT </w:instrText>
    </w:r>
    <w:r>
      <w:fldChar w:fldCharType="separate"/>
    </w:r>
    <w:r w:rsidR="00F013FE">
      <w:rPr>
        <w:noProof/>
      </w:rPr>
      <w:t>P:\ARA\ITU-R\CONF-R\CMR15\000\062ADD09ADD02A.docx</w:t>
    </w:r>
    <w:r>
      <w:fldChar w:fldCharType="end"/>
    </w:r>
    <w:r w:rsidRPr="00C3688A">
      <w:t xml:space="preserve">   (</w:t>
    </w:r>
    <w:r>
      <w:rPr>
        <w:rFonts w:hint="cs"/>
        <w:rtl/>
      </w:rPr>
      <w:t>388507</w:t>
    </w:r>
    <w:r w:rsidRPr="00C3688A">
      <w:t>)</w:t>
    </w:r>
    <w:r w:rsidRPr="00C368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20A92">
      <w:rPr>
        <w:noProof/>
      </w:rPr>
      <w:t>31.10.15</w:t>
    </w:r>
    <w:r w:rsidRPr="00B12661">
      <w:fldChar w:fldCharType="end"/>
    </w:r>
    <w:r w:rsidRPr="00C368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013FE">
      <w:rPr>
        <w:noProof/>
      </w:rPr>
      <w:t>31.10.15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3688A" w:rsidRDefault="00281F5F" w:rsidP="00C3688A">
    <w:pPr>
      <w:pStyle w:val="Footer"/>
    </w:pPr>
    <w:r>
      <w:fldChar w:fldCharType="begin"/>
    </w:r>
    <w:r w:rsidRPr="00C3688A">
      <w:instrText xml:space="preserve"> FILENAME \p \* MERGEFORMAT </w:instrText>
    </w:r>
    <w:r>
      <w:fldChar w:fldCharType="separate"/>
    </w:r>
    <w:r w:rsidR="00F013FE">
      <w:rPr>
        <w:noProof/>
      </w:rPr>
      <w:t>P:\ARA\ITU-R\CONF-R\CMR15\000\062ADD09ADD02A.docx</w:t>
    </w:r>
    <w:r>
      <w:fldChar w:fldCharType="end"/>
    </w:r>
    <w:r w:rsidRPr="00C3688A">
      <w:t xml:space="preserve">   (</w:t>
    </w:r>
    <w:r w:rsidR="00C3688A">
      <w:rPr>
        <w:rFonts w:hint="cs"/>
        <w:rtl/>
      </w:rPr>
      <w:t>388507</w:t>
    </w:r>
    <w:r w:rsidRPr="00C3688A">
      <w:t>)</w:t>
    </w:r>
    <w:r w:rsidRPr="00C368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20A92">
      <w:rPr>
        <w:noProof/>
      </w:rPr>
      <w:t>31.10.15</w:t>
    </w:r>
    <w:r w:rsidRPr="00B12661">
      <w:fldChar w:fldCharType="end"/>
    </w:r>
    <w:r w:rsidRPr="00C368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013FE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20A92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2FC7842"/>
    <w:multiLevelType w:val="hybridMultilevel"/>
    <w:tmpl w:val="CCF69970"/>
    <w:lvl w:ilvl="0" w:tplc="248422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JO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301B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46ED"/>
    <w:rsid w:val="001629EC"/>
    <w:rsid w:val="00167364"/>
    <w:rsid w:val="001903B2"/>
    <w:rsid w:val="001E190C"/>
    <w:rsid w:val="001E1E81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1326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4DB7"/>
    <w:rsid w:val="00320A9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F19"/>
    <w:rsid w:val="00461FA7"/>
    <w:rsid w:val="00470CBD"/>
    <w:rsid w:val="00471D7A"/>
    <w:rsid w:val="0047407D"/>
    <w:rsid w:val="004909DD"/>
    <w:rsid w:val="004A05E6"/>
    <w:rsid w:val="004A301D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1477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2F88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CE3"/>
    <w:rsid w:val="00773E9C"/>
    <w:rsid w:val="00776F6B"/>
    <w:rsid w:val="00777694"/>
    <w:rsid w:val="00786A7E"/>
    <w:rsid w:val="007A0802"/>
    <w:rsid w:val="007B1FCA"/>
    <w:rsid w:val="007B55C8"/>
    <w:rsid w:val="007C2C12"/>
    <w:rsid w:val="007C3CFA"/>
    <w:rsid w:val="007E0E8B"/>
    <w:rsid w:val="007F08CA"/>
    <w:rsid w:val="007F7FC3"/>
    <w:rsid w:val="008038CB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5ED6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0102"/>
    <w:rsid w:val="00AC1275"/>
    <w:rsid w:val="00AC7395"/>
    <w:rsid w:val="00AD690F"/>
    <w:rsid w:val="00AD69DD"/>
    <w:rsid w:val="00AD706D"/>
    <w:rsid w:val="00AE76FB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2003"/>
    <w:rsid w:val="00BC3487"/>
    <w:rsid w:val="00BD6EF3"/>
    <w:rsid w:val="00BE69C3"/>
    <w:rsid w:val="00C1165E"/>
    <w:rsid w:val="00C22074"/>
    <w:rsid w:val="00C2377B"/>
    <w:rsid w:val="00C23AFC"/>
    <w:rsid w:val="00C3688A"/>
    <w:rsid w:val="00C3693C"/>
    <w:rsid w:val="00C433C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050C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28DA"/>
    <w:rsid w:val="00ED4B29"/>
    <w:rsid w:val="00EF38AF"/>
    <w:rsid w:val="00F013FE"/>
    <w:rsid w:val="00F055F8"/>
    <w:rsid w:val="00F10CB4"/>
    <w:rsid w:val="00F11B3D"/>
    <w:rsid w:val="00F14763"/>
    <w:rsid w:val="00F16212"/>
    <w:rsid w:val="00F16602"/>
    <w:rsid w:val="00F2487B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B5D04"/>
    <w:rsid w:val="00FC2CD0"/>
    <w:rsid w:val="00FD0594"/>
    <w:rsid w:val="00FF4E0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53AB393-9151-4D8B-8A16-71D1E5D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R15-WRC15-C-0062!A9-A2!MSW-A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45A14-A4C7-41A0-BC1B-5D551B0D4C15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040610-72CE-42E9-B2A9-923DE8C2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R15-WRC15-C-0062!A9-A2!MSW-A</vt:lpstr>
    </vt:vector>
  </TitlesOfParts>
  <Manager>General Secretariat - Pool</Manager>
  <Company>International Telecommunication Union (ITU)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R15-WRC15-C-0062!A9-A2!MSW-A</dc:title>
  <dc:creator>Documents Proposals Manager (DPM)</dc:creator>
  <cp:keywords>DPM_v5.2015.10.280_prod</cp:keywords>
  <cp:lastModifiedBy>Ajlouni, Nour</cp:lastModifiedBy>
  <cp:revision>5</cp:revision>
  <cp:lastPrinted>2015-10-31T19:23:00Z</cp:lastPrinted>
  <dcterms:created xsi:type="dcterms:W3CDTF">2015-10-31T15:36:00Z</dcterms:created>
  <dcterms:modified xsi:type="dcterms:W3CDTF">2015-10-31T20:24:00Z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