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7513"/>
        <w:gridCol w:w="2518"/>
      </w:tblGrid>
      <w:tr w:rsidR="00622560" w:rsidTr="00404A4C">
        <w:trPr>
          <w:cantSplit/>
        </w:trPr>
        <w:tc>
          <w:tcPr>
            <w:tcW w:w="751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251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5B4323B" wp14:editId="2CF7D23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404A4C">
        <w:trPr>
          <w:cantSplit/>
        </w:trPr>
        <w:tc>
          <w:tcPr>
            <w:tcW w:w="751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251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404A4C">
        <w:trPr>
          <w:cantSplit/>
        </w:trPr>
        <w:tc>
          <w:tcPr>
            <w:tcW w:w="751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251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404A4C">
        <w:trPr>
          <w:cantSplit/>
          <w:trHeight w:val="23"/>
        </w:trPr>
        <w:tc>
          <w:tcPr>
            <w:tcW w:w="7513"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2518" w:type="dxa"/>
            <w:shd w:val="clear" w:color="auto" w:fill="auto"/>
          </w:tcPr>
          <w:p w:rsidR="00622560" w:rsidRPr="00622560" w:rsidRDefault="000273B7" w:rsidP="00404A4C">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66</w:t>
            </w:r>
            <w:r w:rsidR="00404A4C">
              <w:rPr>
                <w:rFonts w:ascii="Verdana" w:hAnsi="Verdana" w:cs="Traditional Arabic"/>
                <w:b/>
                <w:sz w:val="20"/>
              </w:rPr>
              <w:t>-</w:t>
            </w:r>
            <w:r w:rsidRPr="000273B7">
              <w:rPr>
                <w:rFonts w:ascii="Verdana" w:hAnsi="Verdana"/>
                <w:b/>
                <w:sz w:val="20"/>
              </w:rPr>
              <w:t>C</w:t>
            </w:r>
          </w:p>
        </w:tc>
      </w:tr>
      <w:bookmarkEnd w:id="1"/>
      <w:bookmarkEnd w:id="3"/>
      <w:tr w:rsidR="008221A4" w:rsidRPr="00C324A8" w:rsidTr="00404A4C">
        <w:trPr>
          <w:cantSplit/>
          <w:trHeight w:val="23"/>
        </w:trPr>
        <w:tc>
          <w:tcPr>
            <w:tcW w:w="7513" w:type="dxa"/>
            <w:shd w:val="clear" w:color="auto" w:fill="auto"/>
          </w:tcPr>
          <w:p w:rsidR="008221A4" w:rsidRPr="00C324A8" w:rsidRDefault="008221A4" w:rsidP="00A466E6">
            <w:pPr>
              <w:spacing w:before="0"/>
              <w:rPr>
                <w:rFonts w:ascii="Verdana" w:hAnsi="Verdana"/>
                <w:b/>
                <w:smallCaps/>
                <w:sz w:val="20"/>
              </w:rPr>
            </w:pPr>
          </w:p>
        </w:tc>
        <w:tc>
          <w:tcPr>
            <w:tcW w:w="251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404A4C">
        <w:trPr>
          <w:cantSplit/>
          <w:trHeight w:val="23"/>
        </w:trPr>
        <w:tc>
          <w:tcPr>
            <w:tcW w:w="7513" w:type="dxa"/>
          </w:tcPr>
          <w:p w:rsidR="008221A4" w:rsidRPr="00CB4E5A" w:rsidRDefault="008221A4" w:rsidP="00A466E6">
            <w:pPr>
              <w:spacing w:before="0"/>
              <w:rPr>
                <w:rFonts w:ascii="Verdana" w:hAnsi="Verdana"/>
                <w:b/>
                <w:bCs/>
                <w:sz w:val="20"/>
              </w:rPr>
            </w:pPr>
          </w:p>
        </w:tc>
        <w:tc>
          <w:tcPr>
            <w:tcW w:w="2518"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古巴</w:t>
            </w:r>
            <w:proofErr w:type="spellEnd"/>
          </w:p>
        </w:tc>
      </w:tr>
      <w:tr w:rsidR="008221A4">
        <w:trPr>
          <w:cantSplit/>
        </w:trPr>
        <w:tc>
          <w:tcPr>
            <w:tcW w:w="10031" w:type="dxa"/>
            <w:gridSpan w:val="2"/>
          </w:tcPr>
          <w:p w:rsidR="008221A4" w:rsidRDefault="00404A4C" w:rsidP="008221A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p>
        </w:tc>
      </w:tr>
    </w:tbl>
    <w:bookmarkEnd w:id="7"/>
    <w:p w:rsidR="00404A4C" w:rsidRPr="00AE09A7" w:rsidRDefault="00404A4C" w:rsidP="00B42CD9">
      <w:pPr>
        <w:ind w:firstLineChars="200" w:firstLine="480"/>
        <w:rPr>
          <w:lang w:eastAsia="zh-CN"/>
        </w:rPr>
      </w:pPr>
      <w:r w:rsidRPr="00AE09A7">
        <w:rPr>
          <w:rFonts w:hint="eastAsia"/>
          <w:lang w:eastAsia="zh-CN"/>
        </w:rPr>
        <w:t>古巴主管部门荣幸地向世界无线电通信大会（</w:t>
      </w:r>
      <w:r w:rsidRPr="00AE09A7">
        <w:rPr>
          <w:rFonts w:hint="eastAsia"/>
          <w:lang w:eastAsia="zh-CN"/>
        </w:rPr>
        <w:t>WRC-1</w:t>
      </w:r>
      <w:r w:rsidR="00B42CD9">
        <w:rPr>
          <w:lang w:eastAsia="zh-CN"/>
        </w:rPr>
        <w:t>5</w:t>
      </w:r>
      <w:r w:rsidRPr="00AE09A7">
        <w:rPr>
          <w:rFonts w:hint="eastAsia"/>
          <w:lang w:eastAsia="zh-CN"/>
        </w:rPr>
        <w:t>）提交文稿。</w:t>
      </w:r>
    </w:p>
    <w:p w:rsidR="00404A4C" w:rsidRDefault="006B7365" w:rsidP="00E61BCB">
      <w:pPr>
        <w:pStyle w:val="NormalCH"/>
        <w:ind w:firstLine="480"/>
        <w:rPr>
          <w:lang w:eastAsia="zh-CN"/>
        </w:rPr>
      </w:pPr>
      <w:r w:rsidRPr="006148DC">
        <w:rPr>
          <w:rFonts w:hint="eastAsia"/>
          <w:lang w:eastAsia="zh-CN"/>
        </w:rPr>
        <w:t>古巴主管部门</w:t>
      </w:r>
      <w:r>
        <w:rPr>
          <w:rFonts w:hint="eastAsia"/>
          <w:lang w:eastAsia="zh-CN"/>
        </w:rPr>
        <w:t>在拟定</w:t>
      </w:r>
      <w:r w:rsidR="00E57ABE">
        <w:rPr>
          <w:rFonts w:hint="eastAsia"/>
          <w:lang w:eastAsia="zh-CN"/>
        </w:rPr>
        <w:t>提案</w:t>
      </w:r>
      <w:r>
        <w:rPr>
          <w:rFonts w:hint="eastAsia"/>
          <w:lang w:eastAsia="zh-CN"/>
        </w:rPr>
        <w:t>时，</w:t>
      </w:r>
      <w:r w:rsidRPr="006148DC">
        <w:rPr>
          <w:rFonts w:hint="eastAsia"/>
          <w:lang w:eastAsia="zh-CN"/>
        </w:rPr>
        <w:t>考虑到</w:t>
      </w:r>
      <w:r>
        <w:rPr>
          <w:rFonts w:hint="eastAsia"/>
          <w:lang w:eastAsia="zh-CN"/>
        </w:rPr>
        <w:t>了</w:t>
      </w:r>
      <w:r w:rsidR="00B42CD9">
        <w:rPr>
          <w:rFonts w:hint="eastAsia"/>
          <w:lang w:eastAsia="zh-CN"/>
        </w:rPr>
        <w:t>ITU-R</w:t>
      </w:r>
      <w:r>
        <w:rPr>
          <w:rFonts w:hint="eastAsia"/>
          <w:lang w:eastAsia="zh-CN"/>
        </w:rPr>
        <w:t>正在</w:t>
      </w:r>
      <w:r w:rsidR="00E61BCB">
        <w:rPr>
          <w:rFonts w:hint="eastAsia"/>
          <w:lang w:eastAsia="zh-CN"/>
        </w:rPr>
        <w:t>开展</w:t>
      </w:r>
      <w:r w:rsidR="008F20E3">
        <w:rPr>
          <w:rFonts w:hint="eastAsia"/>
          <w:lang w:eastAsia="zh-CN"/>
        </w:rPr>
        <w:t>的议题研究</w:t>
      </w:r>
      <w:r w:rsidR="00E61BCB">
        <w:rPr>
          <w:rFonts w:hint="eastAsia"/>
          <w:lang w:eastAsia="zh-CN"/>
        </w:rPr>
        <w:t>状</w:t>
      </w:r>
      <w:r>
        <w:rPr>
          <w:rFonts w:hint="eastAsia"/>
          <w:lang w:eastAsia="zh-CN"/>
        </w:rPr>
        <w:t>况，特别是大会筹备会议</w:t>
      </w:r>
      <w:r w:rsidR="005A3A38">
        <w:rPr>
          <w:rFonts w:hint="eastAsia"/>
          <w:lang w:eastAsia="zh-CN"/>
        </w:rPr>
        <w:t>的</w:t>
      </w:r>
      <w:r>
        <w:rPr>
          <w:rFonts w:hint="eastAsia"/>
          <w:lang w:eastAsia="zh-CN"/>
        </w:rPr>
        <w:t>报告。</w:t>
      </w:r>
      <w:r w:rsidR="00794172">
        <w:rPr>
          <w:rFonts w:hint="eastAsia"/>
          <w:lang w:eastAsia="zh-CN"/>
        </w:rPr>
        <w:t>古巴</w:t>
      </w:r>
      <w:r>
        <w:rPr>
          <w:rFonts w:hint="eastAsia"/>
          <w:lang w:eastAsia="zh-CN"/>
        </w:rPr>
        <w:t>文稿</w:t>
      </w:r>
      <w:r w:rsidR="00F81DE1">
        <w:rPr>
          <w:rFonts w:hint="eastAsia"/>
          <w:lang w:eastAsia="zh-CN"/>
        </w:rPr>
        <w:t>源自以下</w:t>
      </w:r>
      <w:r>
        <w:rPr>
          <w:rFonts w:hint="eastAsia"/>
          <w:lang w:eastAsia="zh-CN"/>
        </w:rPr>
        <w:t>重点</w:t>
      </w:r>
      <w:r w:rsidR="00F81DE1">
        <w:rPr>
          <w:rFonts w:hint="eastAsia"/>
          <w:lang w:eastAsia="zh-CN"/>
        </w:rPr>
        <w:t>考虑的</w:t>
      </w:r>
      <w:r>
        <w:rPr>
          <w:rFonts w:hint="eastAsia"/>
          <w:lang w:eastAsia="zh-CN"/>
        </w:rPr>
        <w:t>问题：</w:t>
      </w:r>
    </w:p>
    <w:p w:rsidR="006B7365" w:rsidRPr="006148DC" w:rsidRDefault="006B7365" w:rsidP="006B7365">
      <w:pPr>
        <w:pStyle w:val="enumlev1"/>
        <w:rPr>
          <w:lang w:eastAsia="zh-CN"/>
        </w:rPr>
      </w:pPr>
      <w:r>
        <w:rPr>
          <w:rFonts w:hint="eastAsia"/>
          <w:lang w:eastAsia="zh-CN"/>
        </w:rPr>
        <w:t>1)</w:t>
      </w:r>
      <w:r>
        <w:rPr>
          <w:rFonts w:hint="eastAsia"/>
          <w:lang w:eastAsia="zh-CN"/>
        </w:rPr>
        <w:tab/>
      </w:r>
      <w:r w:rsidR="007544F5">
        <w:rPr>
          <w:rFonts w:hint="eastAsia"/>
          <w:lang w:eastAsia="zh-CN"/>
        </w:rPr>
        <w:t>促进所有国家平等获取无线电频谱</w:t>
      </w:r>
      <w:r w:rsidR="00C90374">
        <w:rPr>
          <w:rFonts w:hint="eastAsia"/>
          <w:lang w:eastAsia="zh-CN"/>
        </w:rPr>
        <w:t>/</w:t>
      </w:r>
      <w:r w:rsidR="007544F5">
        <w:rPr>
          <w:rFonts w:hint="eastAsia"/>
          <w:lang w:eastAsia="zh-CN"/>
        </w:rPr>
        <w:t>轨道</w:t>
      </w:r>
      <w:r w:rsidR="006D38CC">
        <w:rPr>
          <w:rFonts w:hint="eastAsia"/>
          <w:lang w:eastAsia="zh-CN"/>
        </w:rPr>
        <w:t>资源；</w:t>
      </w:r>
    </w:p>
    <w:p w:rsidR="006B7365" w:rsidRDefault="006B7365" w:rsidP="006B7365">
      <w:pPr>
        <w:pStyle w:val="enumlev1"/>
        <w:rPr>
          <w:lang w:eastAsia="zh-CN"/>
        </w:rPr>
      </w:pPr>
      <w:r>
        <w:rPr>
          <w:rFonts w:hint="eastAsia"/>
          <w:lang w:eastAsia="zh-CN"/>
        </w:rPr>
        <w:t>2)</w:t>
      </w:r>
      <w:r>
        <w:rPr>
          <w:rFonts w:hint="eastAsia"/>
          <w:lang w:eastAsia="zh-CN"/>
        </w:rPr>
        <w:tab/>
      </w:r>
      <w:r w:rsidR="006D38CC">
        <w:rPr>
          <w:rFonts w:hint="eastAsia"/>
          <w:lang w:eastAsia="zh-CN"/>
        </w:rPr>
        <w:t>保证遇险和安全频率的可用性以及对它们的保护；</w:t>
      </w:r>
    </w:p>
    <w:p w:rsidR="006B7365" w:rsidRPr="006148DC" w:rsidRDefault="006B7365" w:rsidP="006B7365">
      <w:pPr>
        <w:pStyle w:val="enumlev1"/>
        <w:rPr>
          <w:lang w:eastAsia="zh-CN"/>
        </w:rPr>
      </w:pPr>
      <w:r>
        <w:rPr>
          <w:rFonts w:hint="eastAsia"/>
          <w:lang w:eastAsia="zh-CN"/>
        </w:rPr>
        <w:t>3)</w:t>
      </w:r>
      <w:r>
        <w:rPr>
          <w:rFonts w:hint="eastAsia"/>
          <w:lang w:eastAsia="zh-CN"/>
        </w:rPr>
        <w:tab/>
      </w:r>
      <w:r w:rsidR="006D38CC">
        <w:rPr>
          <w:rFonts w:hint="eastAsia"/>
          <w:lang w:eastAsia="zh-CN"/>
        </w:rPr>
        <w:t>按照《无线电规则》确保对现有无线电通信业务和系统的保护；</w:t>
      </w:r>
    </w:p>
    <w:p w:rsidR="006B7365" w:rsidRPr="006148DC" w:rsidRDefault="006B7365" w:rsidP="005D0904">
      <w:pPr>
        <w:pStyle w:val="enumlev1"/>
        <w:rPr>
          <w:lang w:eastAsia="zh-CN"/>
        </w:rPr>
      </w:pPr>
      <w:r>
        <w:rPr>
          <w:rFonts w:hint="eastAsia"/>
          <w:lang w:eastAsia="zh-CN"/>
        </w:rPr>
        <w:t>4)</w:t>
      </w:r>
      <w:r w:rsidRPr="006148DC">
        <w:rPr>
          <w:lang w:eastAsia="zh-CN"/>
        </w:rPr>
        <w:tab/>
      </w:r>
      <w:r w:rsidR="005D0904">
        <w:rPr>
          <w:rFonts w:hint="eastAsia"/>
          <w:lang w:eastAsia="zh-CN"/>
        </w:rPr>
        <w:t>促进</w:t>
      </w:r>
      <w:r w:rsidR="006D38CC">
        <w:rPr>
          <w:rFonts w:hint="eastAsia"/>
          <w:lang w:eastAsia="zh-CN"/>
        </w:rPr>
        <w:t>无线电通信新技术的推出；</w:t>
      </w:r>
    </w:p>
    <w:p w:rsidR="006B7365" w:rsidRPr="006148DC" w:rsidRDefault="006B7365" w:rsidP="006B7365">
      <w:pPr>
        <w:pStyle w:val="enumlev1"/>
        <w:rPr>
          <w:lang w:eastAsia="zh-CN"/>
        </w:rPr>
      </w:pPr>
      <w:r>
        <w:rPr>
          <w:rFonts w:hint="eastAsia"/>
          <w:lang w:eastAsia="zh-CN"/>
        </w:rPr>
        <w:t>5)</w:t>
      </w:r>
      <w:r w:rsidRPr="006148DC">
        <w:rPr>
          <w:lang w:eastAsia="zh-CN"/>
        </w:rPr>
        <w:tab/>
      </w:r>
      <w:r>
        <w:rPr>
          <w:rFonts w:hint="eastAsia"/>
          <w:lang w:eastAsia="zh-CN"/>
        </w:rPr>
        <w:t>促进对自然资源和环境</w:t>
      </w:r>
      <w:r w:rsidRPr="006148DC">
        <w:rPr>
          <w:rFonts w:hint="eastAsia"/>
          <w:lang w:eastAsia="zh-CN"/>
        </w:rPr>
        <w:t>的保护</w:t>
      </w:r>
      <w:r w:rsidR="006D38CC">
        <w:rPr>
          <w:rFonts w:hint="eastAsia"/>
          <w:lang w:eastAsia="zh-CN"/>
        </w:rPr>
        <w:t>；</w:t>
      </w:r>
    </w:p>
    <w:p w:rsidR="00404A4C" w:rsidRDefault="006B7365" w:rsidP="006B7365">
      <w:pPr>
        <w:pStyle w:val="enumlev1"/>
        <w:rPr>
          <w:lang w:eastAsia="zh-CN"/>
        </w:rPr>
      </w:pPr>
      <w:r>
        <w:rPr>
          <w:rFonts w:hint="eastAsia"/>
          <w:lang w:eastAsia="zh-CN"/>
        </w:rPr>
        <w:t>6)</w:t>
      </w:r>
      <w:r w:rsidRPr="006148DC">
        <w:rPr>
          <w:lang w:eastAsia="zh-CN"/>
        </w:rPr>
        <w:tab/>
      </w:r>
      <w:r>
        <w:rPr>
          <w:rFonts w:hint="eastAsia"/>
          <w:lang w:eastAsia="zh-CN"/>
        </w:rPr>
        <w:t>考虑到发展中国家的需</w:t>
      </w:r>
      <w:bookmarkStart w:id="8" w:name="_GoBack"/>
      <w:bookmarkEnd w:id="8"/>
      <w:r>
        <w:rPr>
          <w:rFonts w:hint="eastAsia"/>
          <w:lang w:eastAsia="zh-CN"/>
        </w:rPr>
        <w:t>求</w:t>
      </w:r>
      <w:r w:rsidRPr="006148DC">
        <w:rPr>
          <w:rFonts w:hint="eastAsia"/>
          <w:lang w:eastAsia="zh-CN"/>
        </w:rPr>
        <w:t>。</w:t>
      </w:r>
    </w:p>
    <w:p w:rsidR="00F81DE1" w:rsidRDefault="00F81DE1" w:rsidP="00BC415F">
      <w:pPr>
        <w:ind w:firstLineChars="200" w:firstLine="480"/>
        <w:rPr>
          <w:lang w:val="en-US" w:eastAsia="zh-CN"/>
        </w:rPr>
      </w:pPr>
      <w:r>
        <w:rPr>
          <w:rFonts w:hint="eastAsia"/>
          <w:lang w:val="en-US" w:eastAsia="zh-CN"/>
        </w:rPr>
        <w:t>此外，拟订提案时考虑的一个关键因素是提案与国际电联宗旨的兼容性，尤其是：</w:t>
      </w:r>
    </w:p>
    <w:p w:rsidR="005A7EA4" w:rsidRPr="00F02259" w:rsidRDefault="005A7EA4" w:rsidP="005A7EA4">
      <w:pPr>
        <w:pStyle w:val="enumlev1"/>
        <w:rPr>
          <w:lang w:eastAsia="zh-CN"/>
        </w:rPr>
      </w:pPr>
      <w:r w:rsidRPr="00F02259">
        <w:rPr>
          <w:lang w:eastAsia="zh-CN"/>
        </w:rPr>
        <w:t>–</w:t>
      </w:r>
      <w:r w:rsidRPr="00F02259">
        <w:rPr>
          <w:rFonts w:hint="eastAsia"/>
          <w:lang w:eastAsia="zh-CN"/>
        </w:rPr>
        <w:tab/>
      </w:r>
      <w:r w:rsidRPr="00F02259">
        <w:rPr>
          <w:rFonts w:hint="eastAsia"/>
          <w:lang w:eastAsia="zh-CN"/>
        </w:rPr>
        <w:t>保持和扩大所有国际电联成员国之间的国际合作，以改进和合理使用各种电信；</w:t>
      </w:r>
    </w:p>
    <w:p w:rsidR="005A7EA4" w:rsidRPr="00F02259" w:rsidRDefault="005A7EA4" w:rsidP="005A7EA4">
      <w:pPr>
        <w:pStyle w:val="enumlev1"/>
        <w:rPr>
          <w:lang w:eastAsia="zh-CN"/>
        </w:rPr>
      </w:pPr>
      <w:r w:rsidRPr="00F02259">
        <w:rPr>
          <w:lang w:eastAsia="zh-CN"/>
        </w:rPr>
        <w:t>–</w:t>
      </w:r>
      <w:r w:rsidRPr="00F02259">
        <w:rPr>
          <w:rFonts w:hint="eastAsia"/>
          <w:lang w:eastAsia="zh-CN"/>
        </w:rPr>
        <w:tab/>
      </w:r>
      <w:r w:rsidRPr="00F02259">
        <w:rPr>
          <w:rFonts w:hint="eastAsia"/>
          <w:lang w:eastAsia="zh-CN"/>
        </w:rPr>
        <w:t>促进技术设施的发展及其最有效的运营，以提高电信业务的效率，增强其效用并尽量使之为公众普遍利用；</w:t>
      </w:r>
    </w:p>
    <w:p w:rsidR="005A7EA4" w:rsidRPr="00F02259" w:rsidRDefault="005A7EA4" w:rsidP="005A7EA4">
      <w:pPr>
        <w:pStyle w:val="enumlev1"/>
        <w:rPr>
          <w:lang w:eastAsia="zh-CN"/>
        </w:rPr>
      </w:pPr>
      <w:r w:rsidRPr="00F02259">
        <w:rPr>
          <w:lang w:eastAsia="zh-CN"/>
        </w:rPr>
        <w:t>–</w:t>
      </w:r>
      <w:r w:rsidRPr="00F02259">
        <w:rPr>
          <w:rFonts w:hint="eastAsia"/>
          <w:lang w:eastAsia="zh-CN"/>
        </w:rPr>
        <w:tab/>
      </w:r>
      <w:r w:rsidRPr="00F02259">
        <w:rPr>
          <w:rFonts w:hint="eastAsia"/>
          <w:lang w:eastAsia="zh-CN"/>
        </w:rPr>
        <w:t>促使世界上所有居民都得益于新的电信技术；</w:t>
      </w:r>
    </w:p>
    <w:p w:rsidR="00404A4C" w:rsidRPr="001C2A98" w:rsidRDefault="005A7EA4" w:rsidP="005A7EA4">
      <w:pPr>
        <w:pStyle w:val="enumlev1"/>
        <w:rPr>
          <w:b/>
          <w:lang w:val="en-US" w:eastAsia="zh-CN"/>
        </w:rPr>
      </w:pPr>
      <w:r w:rsidRPr="00F02259">
        <w:rPr>
          <w:lang w:eastAsia="zh-CN"/>
        </w:rPr>
        <w:t>–</w:t>
      </w:r>
      <w:r w:rsidRPr="00F02259">
        <w:rPr>
          <w:rFonts w:hint="eastAsia"/>
          <w:lang w:eastAsia="zh-CN"/>
        </w:rPr>
        <w:tab/>
      </w:r>
      <w:r w:rsidRPr="00F02259">
        <w:rPr>
          <w:rFonts w:hint="eastAsia"/>
          <w:lang w:eastAsia="zh-CN"/>
        </w:rPr>
        <w:t>推动电信业务的使用，增进和平的关系；</w:t>
      </w:r>
    </w:p>
    <w:p w:rsidR="00404A4C" w:rsidRDefault="006B7365" w:rsidP="00A359AE">
      <w:pPr>
        <w:pStyle w:val="Reasons"/>
        <w:ind w:firstLineChars="200" w:firstLine="480"/>
        <w:rPr>
          <w:lang w:eastAsia="zh-CN"/>
        </w:rPr>
      </w:pPr>
      <w:r>
        <w:rPr>
          <w:rFonts w:hint="eastAsia"/>
          <w:lang w:eastAsia="zh-CN"/>
        </w:rPr>
        <w:t>古巴主管部门的主要目的是与参加</w:t>
      </w:r>
      <w:r>
        <w:rPr>
          <w:rFonts w:hint="eastAsia"/>
          <w:lang w:eastAsia="zh-CN"/>
        </w:rPr>
        <w:t>WRC</w:t>
      </w:r>
      <w:r w:rsidR="0004768E">
        <w:rPr>
          <w:rFonts w:hint="eastAsia"/>
          <w:lang w:eastAsia="zh-CN"/>
        </w:rPr>
        <w:t>的</w:t>
      </w:r>
      <w:r>
        <w:rPr>
          <w:rFonts w:hint="eastAsia"/>
          <w:lang w:eastAsia="zh-CN"/>
        </w:rPr>
        <w:t>其它各代表团努力工作，为大会研究的各项复杂问题确定适当的解决方案，在此过程中，古巴将在</w:t>
      </w:r>
      <w:r w:rsidR="00A359AE">
        <w:rPr>
          <w:rFonts w:hint="eastAsia"/>
          <w:lang w:eastAsia="zh-CN"/>
        </w:rPr>
        <w:t>今后</w:t>
      </w:r>
      <w:r>
        <w:rPr>
          <w:rFonts w:hint="eastAsia"/>
          <w:lang w:eastAsia="zh-CN"/>
        </w:rPr>
        <w:t>的四周内不遗余力地为取得有益于国际社会和加强国际电联工作的成果而努力。</w:t>
      </w:r>
    </w:p>
    <w:p w:rsidR="00BC415F" w:rsidRDefault="00BC415F" w:rsidP="00A359AE">
      <w:pPr>
        <w:pStyle w:val="Reasons"/>
        <w:ind w:firstLineChars="200" w:firstLine="480"/>
        <w:rPr>
          <w:lang w:eastAsia="zh-CN"/>
        </w:rPr>
      </w:pPr>
    </w:p>
    <w:p w:rsidR="00404A4C" w:rsidRDefault="00404A4C" w:rsidP="0086381A">
      <w:pPr>
        <w:jc w:val="center"/>
      </w:pPr>
      <w:r>
        <w:t>______________</w:t>
      </w:r>
    </w:p>
    <w:sectPr w:rsidR="00404A4C" w:rsidSect="00404A4C">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3D" w:rsidRDefault="00961B3D">
      <w:r>
        <w:separator/>
      </w:r>
    </w:p>
  </w:endnote>
  <w:endnote w:type="continuationSeparator" w:id="0">
    <w:p w:rsidR="00961B3D" w:rsidRDefault="0096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81DE1" w:rsidRDefault="00B851D4">
    <w:pPr>
      <w:pStyle w:val="Footer"/>
      <w:rPr>
        <w:lang w:val="fr-CH"/>
      </w:rPr>
    </w:pPr>
    <w:r>
      <w:fldChar w:fldCharType="begin"/>
    </w:r>
    <w:r w:rsidRPr="00F81DE1">
      <w:rPr>
        <w:lang w:val="fr-CH"/>
      </w:rPr>
      <w:instrText xml:space="preserve"> FILENAME \p \* MERGEFORMAT </w:instrText>
    </w:r>
    <w:r>
      <w:fldChar w:fldCharType="separate"/>
    </w:r>
    <w:r w:rsidR="004009D0">
      <w:rPr>
        <w:lang w:val="fr-CH"/>
      </w:rPr>
      <w:t>P:\CHI\ITU-R\CONF-R\CMR15\000\066C.docx</w:t>
    </w:r>
    <w:r>
      <w:fldChar w:fldCharType="end"/>
    </w:r>
    <w:r w:rsidR="00404A4C" w:rsidRPr="00F81DE1">
      <w:rPr>
        <w:rFonts w:hint="eastAsia"/>
        <w:lang w:val="fr-CH" w:eastAsia="zh-CN"/>
      </w:rPr>
      <w:t>（</w:t>
    </w:r>
    <w:r w:rsidR="00404A4C" w:rsidRPr="00F81DE1">
      <w:rPr>
        <w:rFonts w:hint="eastAsia"/>
        <w:lang w:val="fr-CH" w:eastAsia="zh-CN"/>
      </w:rPr>
      <w:t>388380</w:t>
    </w:r>
    <w:r w:rsidR="00404A4C" w:rsidRPr="00F81DE1">
      <w:rPr>
        <w:rFonts w:hint="eastAsia"/>
        <w:lang w:val="fr-CH" w:eastAsia="zh-CN"/>
      </w:rPr>
      <w:t>）</w:t>
    </w:r>
    <w:r w:rsidRPr="00F81DE1">
      <w:rPr>
        <w:lang w:val="fr-CH"/>
      </w:rPr>
      <w:tab/>
    </w:r>
    <w:r>
      <w:fldChar w:fldCharType="begin"/>
    </w:r>
    <w:r>
      <w:instrText xml:space="preserve"> savedate \@ dd.MM.yy </w:instrText>
    </w:r>
    <w:r>
      <w:fldChar w:fldCharType="separate"/>
    </w:r>
    <w:r w:rsidR="004009D0">
      <w:t>27.10.15</w:t>
    </w:r>
    <w:r>
      <w:fldChar w:fldCharType="end"/>
    </w:r>
    <w:r w:rsidRPr="00F81DE1">
      <w:rPr>
        <w:lang w:val="fr-CH"/>
      </w:rPr>
      <w:tab/>
    </w:r>
    <w:r>
      <w:fldChar w:fldCharType="begin"/>
    </w:r>
    <w:r>
      <w:instrText xml:space="preserve"> printdate \@ dd.MM.yy </w:instrText>
    </w:r>
    <w:r>
      <w:fldChar w:fldCharType="separate"/>
    </w:r>
    <w:r w:rsidR="004009D0">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81DE1" w:rsidRDefault="00B851D4">
    <w:pPr>
      <w:pStyle w:val="Footer"/>
      <w:rPr>
        <w:lang w:val="fr-CH"/>
      </w:rPr>
    </w:pPr>
    <w:r>
      <w:fldChar w:fldCharType="begin"/>
    </w:r>
    <w:r w:rsidRPr="00F81DE1">
      <w:rPr>
        <w:lang w:val="fr-CH"/>
      </w:rPr>
      <w:instrText xml:space="preserve"> FILENAME \p \* MERGEFORMAT </w:instrText>
    </w:r>
    <w:r>
      <w:fldChar w:fldCharType="separate"/>
    </w:r>
    <w:r w:rsidR="004009D0">
      <w:rPr>
        <w:lang w:val="fr-CH"/>
      </w:rPr>
      <w:t>P:\CHI\ITU-R\CONF-R\CMR15\000\066C.docx</w:t>
    </w:r>
    <w:r>
      <w:fldChar w:fldCharType="end"/>
    </w:r>
    <w:r w:rsidR="00404A4C" w:rsidRPr="00F81DE1">
      <w:rPr>
        <w:rFonts w:hint="eastAsia"/>
        <w:lang w:val="fr-CH" w:eastAsia="zh-CN"/>
      </w:rPr>
      <w:t>（</w:t>
    </w:r>
    <w:r w:rsidR="00404A4C" w:rsidRPr="00F81DE1">
      <w:rPr>
        <w:rFonts w:hint="eastAsia"/>
        <w:lang w:val="fr-CH" w:eastAsia="zh-CN"/>
      </w:rPr>
      <w:t>388380</w:t>
    </w:r>
    <w:r w:rsidR="00404A4C" w:rsidRPr="00F81DE1">
      <w:rPr>
        <w:rFonts w:hint="eastAsia"/>
        <w:lang w:val="fr-CH" w:eastAsia="zh-CN"/>
      </w:rPr>
      <w:t>）</w:t>
    </w:r>
    <w:r w:rsidRPr="00F81DE1">
      <w:rPr>
        <w:lang w:val="fr-CH"/>
      </w:rPr>
      <w:tab/>
    </w:r>
    <w:r>
      <w:fldChar w:fldCharType="begin"/>
    </w:r>
    <w:r>
      <w:instrText xml:space="preserve"> savedate \@ dd.MM.yy </w:instrText>
    </w:r>
    <w:r>
      <w:fldChar w:fldCharType="separate"/>
    </w:r>
    <w:r w:rsidR="004009D0">
      <w:t>27.10.15</w:t>
    </w:r>
    <w:r>
      <w:fldChar w:fldCharType="end"/>
    </w:r>
    <w:r w:rsidRPr="00F81DE1">
      <w:rPr>
        <w:lang w:val="fr-CH"/>
      </w:rPr>
      <w:tab/>
    </w:r>
    <w:r>
      <w:fldChar w:fldCharType="begin"/>
    </w:r>
    <w:r>
      <w:instrText xml:space="preserve"> printdate \@ dd.MM.yy </w:instrText>
    </w:r>
    <w:r>
      <w:fldChar w:fldCharType="separate"/>
    </w:r>
    <w:r w:rsidR="004009D0">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3D" w:rsidRDefault="00961B3D">
      <w:r>
        <w:t>____________________</w:t>
      </w:r>
    </w:p>
  </w:footnote>
  <w:footnote w:type="continuationSeparator" w:id="0">
    <w:p w:rsidR="00961B3D" w:rsidRDefault="00961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6381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66(Add.6)(Add.2)-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768E"/>
    <w:rsid w:val="000C09BA"/>
    <w:rsid w:val="000C1F1E"/>
    <w:rsid w:val="000C6AA7"/>
    <w:rsid w:val="000E26F6"/>
    <w:rsid w:val="00123C07"/>
    <w:rsid w:val="00131A5D"/>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009D0"/>
    <w:rsid w:val="00404A4C"/>
    <w:rsid w:val="0041282E"/>
    <w:rsid w:val="004238F7"/>
    <w:rsid w:val="00437869"/>
    <w:rsid w:val="00465A34"/>
    <w:rsid w:val="004C4554"/>
    <w:rsid w:val="004D2DEC"/>
    <w:rsid w:val="004F2BE6"/>
    <w:rsid w:val="00527E8A"/>
    <w:rsid w:val="00542E85"/>
    <w:rsid w:val="00562479"/>
    <w:rsid w:val="00576849"/>
    <w:rsid w:val="005A0ACB"/>
    <w:rsid w:val="005A3A38"/>
    <w:rsid w:val="005A7EA4"/>
    <w:rsid w:val="005D0904"/>
    <w:rsid w:val="005E08D2"/>
    <w:rsid w:val="005E7FD8"/>
    <w:rsid w:val="005F6AB2"/>
    <w:rsid w:val="006040C5"/>
    <w:rsid w:val="00622560"/>
    <w:rsid w:val="00644391"/>
    <w:rsid w:val="00647712"/>
    <w:rsid w:val="00662E12"/>
    <w:rsid w:val="00691142"/>
    <w:rsid w:val="006B67CE"/>
    <w:rsid w:val="006B7365"/>
    <w:rsid w:val="006C38ED"/>
    <w:rsid w:val="006D38CC"/>
    <w:rsid w:val="006E6182"/>
    <w:rsid w:val="006F3C60"/>
    <w:rsid w:val="00736415"/>
    <w:rsid w:val="007544F5"/>
    <w:rsid w:val="00770D2A"/>
    <w:rsid w:val="007864F6"/>
    <w:rsid w:val="00794172"/>
    <w:rsid w:val="007B7C4B"/>
    <w:rsid w:val="007C2DCE"/>
    <w:rsid w:val="007F0FC5"/>
    <w:rsid w:val="007F5C36"/>
    <w:rsid w:val="008047DB"/>
    <w:rsid w:val="008129A9"/>
    <w:rsid w:val="008221A4"/>
    <w:rsid w:val="00824BD6"/>
    <w:rsid w:val="0083672D"/>
    <w:rsid w:val="00844734"/>
    <w:rsid w:val="0086381A"/>
    <w:rsid w:val="00865DFB"/>
    <w:rsid w:val="008A7416"/>
    <w:rsid w:val="008B6852"/>
    <w:rsid w:val="008C26FF"/>
    <w:rsid w:val="008D1D14"/>
    <w:rsid w:val="008E1785"/>
    <w:rsid w:val="008E7127"/>
    <w:rsid w:val="008E7C8E"/>
    <w:rsid w:val="008F20E3"/>
    <w:rsid w:val="00912959"/>
    <w:rsid w:val="00961B3D"/>
    <w:rsid w:val="009657F9"/>
    <w:rsid w:val="0099525B"/>
    <w:rsid w:val="009C72B7"/>
    <w:rsid w:val="009E4C93"/>
    <w:rsid w:val="00A0052C"/>
    <w:rsid w:val="00A31B14"/>
    <w:rsid w:val="00A323DC"/>
    <w:rsid w:val="00A359AE"/>
    <w:rsid w:val="00A466E6"/>
    <w:rsid w:val="00A815BE"/>
    <w:rsid w:val="00AA5DA1"/>
    <w:rsid w:val="00AE369F"/>
    <w:rsid w:val="00B026CB"/>
    <w:rsid w:val="00B42CD9"/>
    <w:rsid w:val="00B711CC"/>
    <w:rsid w:val="00B851D4"/>
    <w:rsid w:val="00B868FC"/>
    <w:rsid w:val="00B95072"/>
    <w:rsid w:val="00BB26CD"/>
    <w:rsid w:val="00BC415F"/>
    <w:rsid w:val="00C07239"/>
    <w:rsid w:val="00C364B1"/>
    <w:rsid w:val="00C47D87"/>
    <w:rsid w:val="00C627F9"/>
    <w:rsid w:val="00C6584D"/>
    <w:rsid w:val="00C90374"/>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57ABE"/>
    <w:rsid w:val="00E61BCB"/>
    <w:rsid w:val="00E92319"/>
    <w:rsid w:val="00F81DE1"/>
    <w:rsid w:val="00F837F4"/>
    <w:rsid w:val="00F851E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56CD7D1-8856-4FED-A594-65ADF297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Styleenumlev1ItalicChar">
    <w:name w:val="Style enumlev1 + Italic Char"/>
    <w:basedOn w:val="DefaultParagraphFont"/>
    <w:rsid w:val="002F69C6"/>
    <w:rPr>
      <w:rFonts w:ascii="Times New Roman" w:hAnsi="Times New Roman"/>
      <w:i/>
      <w:i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R15-WRC15-C-0066!A6-A2!MSW-C</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3611D5A-2C60-4C99-830D-0EE0277A3909}">
  <ds:schemaRefs>
    <ds:schemaRef ds:uri="http://schemas.microsoft.com/office/infopath/2007/PartnerControls"/>
    <ds:schemaRef ds:uri="http://purl.org/dc/terms/"/>
    <ds:schemaRef ds:uri="http://www.w3.org/XML/1998/namespace"/>
    <ds:schemaRef ds:uri="996b2e75-67fd-4955-a3b0-5ab9934cb50b"/>
    <ds:schemaRef ds:uri="http://purl.org/dc/dcmitype/"/>
    <ds:schemaRef ds:uri="http://schemas.microsoft.com/office/2006/documentManagement/types"/>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516</Words>
  <Characters>570</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R15-WRC15-C-0066!A6-A2!MSW-C</vt:lpstr>
    </vt:vector>
  </TitlesOfParts>
  <Manager>General Secretariat - Pool</Manager>
  <Company>International Telecommunication Union (ITU)</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R15-WRC15-C-0066!A6-A2!MSW-C</dc:title>
  <dc:subject>World Radiocommunication Conference - 2015</dc:subject>
  <dc:creator>Documents Proposals Manager (DPM)</dc:creator>
  <cp:keywords>DPM_v5.2015.10.22_prod</cp:keywords>
  <dc:description/>
  <cp:lastModifiedBy>Wang, Yujia</cp:lastModifiedBy>
  <cp:revision>21</cp:revision>
  <cp:lastPrinted>2015-10-27T10:02:00Z</cp:lastPrinted>
  <dcterms:created xsi:type="dcterms:W3CDTF">2015-10-27T09:43:00Z</dcterms:created>
  <dcterms:modified xsi:type="dcterms:W3CDTF">2015-10-27T10:02:00Z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