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055FAC">
        <w:trPr>
          <w:cantSplit/>
        </w:trPr>
        <w:tc>
          <w:tcPr>
            <w:tcW w:w="6911" w:type="dxa"/>
          </w:tcPr>
          <w:p w:rsidR="00A066F1" w:rsidRPr="00055FA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  <w:lang w:val="en-US"/>
              </w:rPr>
            </w:pPr>
            <w:bookmarkStart w:id="0" w:name="_GoBack"/>
            <w:bookmarkEnd w:id="0"/>
            <w:r w:rsidRPr="00055FAC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(WRC-15)</w:t>
            </w:r>
            <w:r w:rsidRPr="00055FAC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055FAC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Geneva, 2–27 November 2015</w:t>
            </w:r>
          </w:p>
        </w:tc>
        <w:tc>
          <w:tcPr>
            <w:tcW w:w="3120" w:type="dxa"/>
          </w:tcPr>
          <w:p w:rsidR="00A066F1" w:rsidRPr="00055FAC" w:rsidRDefault="003B2284" w:rsidP="003B2284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 w:rsidRPr="00055FAC"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055FA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055FAC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  <w:bookmarkStart w:id="2" w:name="dhead"/>
            <w:r w:rsidRPr="00055FAC">
              <w:rPr>
                <w:rFonts w:ascii="Verdana" w:hAnsi="Verdana"/>
                <w:b/>
                <w:smallCaps/>
                <w:sz w:val="20"/>
                <w:lang w:val="en-US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055FAC" w:rsidRDefault="00A066F1" w:rsidP="00A066F1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A066F1" w:rsidRPr="00055FA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055FAC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055FAC" w:rsidRDefault="00A066F1" w:rsidP="00A066F1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A066F1" w:rsidRPr="00055FAC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055FAC" w:rsidRDefault="00DC51D3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  <w:lang w:val="en-US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sz w:val="20"/>
                <w:szCs w:val="20"/>
                <w:lang w:val="en-US"/>
              </w:rPr>
              <w:t>COMMITTEE 5</w:t>
            </w:r>
          </w:p>
        </w:tc>
        <w:tc>
          <w:tcPr>
            <w:tcW w:w="3120" w:type="dxa"/>
            <w:shd w:val="clear" w:color="auto" w:fill="auto"/>
          </w:tcPr>
          <w:p w:rsidR="00A066F1" w:rsidRPr="00055FAC" w:rsidRDefault="00FC5837" w:rsidP="0063485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  <w:r w:rsidRPr="00055FAC">
              <w:rPr>
                <w:rFonts w:ascii="Verdana" w:eastAsia="SimSun" w:hAnsi="Verdana" w:cs="Traditional Arabic"/>
                <w:b/>
                <w:sz w:val="20"/>
                <w:lang w:val="en-US"/>
              </w:rPr>
              <w:t xml:space="preserve">Revision </w:t>
            </w:r>
            <w:r w:rsidR="00634855">
              <w:rPr>
                <w:rFonts w:ascii="Verdana" w:eastAsia="SimSun" w:hAnsi="Verdana" w:cs="Traditional Arabic"/>
                <w:b/>
                <w:sz w:val="20"/>
                <w:lang w:val="en-US"/>
              </w:rPr>
              <w:t>2</w:t>
            </w:r>
            <w:r w:rsidRPr="00055FAC">
              <w:rPr>
                <w:rFonts w:ascii="Verdana" w:eastAsia="SimSun" w:hAnsi="Verdana" w:cs="Traditional Arabic"/>
                <w:b/>
                <w:sz w:val="20"/>
                <w:lang w:val="en-US"/>
              </w:rPr>
              <w:t xml:space="preserve"> to</w:t>
            </w:r>
            <w:r w:rsidRPr="00055FAC"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</w:r>
            <w:r w:rsidR="00E55816" w:rsidRPr="00055FAC"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71</w:t>
            </w:r>
            <w:r w:rsidR="00A066F1" w:rsidRPr="00055FAC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="005E10C9" w:rsidRPr="00055FAC">
              <w:rPr>
                <w:rFonts w:ascii="Verdana" w:hAnsi="Verdana"/>
                <w:b/>
                <w:sz w:val="20"/>
                <w:lang w:val="en-US"/>
              </w:rPr>
              <w:t>E</w:t>
            </w:r>
          </w:p>
        </w:tc>
      </w:tr>
      <w:tr w:rsidR="00A066F1" w:rsidRPr="00055FAC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055FAC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  <w:shd w:val="clear" w:color="auto" w:fill="auto"/>
          </w:tcPr>
          <w:p w:rsidR="00A066F1" w:rsidRPr="00055FAC" w:rsidRDefault="00634855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 xml:space="preserve">12 </w:t>
            </w:r>
            <w:r w:rsidR="00FC5837" w:rsidRPr="00055FAC">
              <w:rPr>
                <w:rFonts w:ascii="Verdana" w:hAnsi="Verdana"/>
                <w:b/>
                <w:sz w:val="20"/>
                <w:lang w:val="en-US"/>
              </w:rPr>
              <w:t>November</w:t>
            </w:r>
            <w:r w:rsidR="00420873" w:rsidRPr="00055FAC">
              <w:rPr>
                <w:rFonts w:ascii="Verdana" w:hAnsi="Verdana"/>
                <w:b/>
                <w:sz w:val="20"/>
                <w:lang w:val="en-US"/>
              </w:rPr>
              <w:t xml:space="preserve"> 2015</w:t>
            </w:r>
          </w:p>
        </w:tc>
      </w:tr>
      <w:tr w:rsidR="00A066F1" w:rsidRPr="00055FAC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055FAC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A066F1" w:rsidRPr="00055FAC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55FAC">
              <w:rPr>
                <w:rFonts w:ascii="Verdana" w:hAnsi="Verdana"/>
                <w:b/>
                <w:sz w:val="20"/>
                <w:lang w:val="en-US"/>
              </w:rPr>
              <w:t>Original: English</w:t>
            </w:r>
          </w:p>
        </w:tc>
      </w:tr>
      <w:tr w:rsidR="00A066F1" w:rsidRPr="00055FAC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055FAC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E55816" w:rsidRPr="00055FAC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055FAC" w:rsidRDefault="00FC5837" w:rsidP="00E55816">
            <w:pPr>
              <w:pStyle w:val="Source"/>
              <w:rPr>
                <w:lang w:val="en-US"/>
              </w:rPr>
            </w:pPr>
            <w:r w:rsidRPr="00055FAC">
              <w:rPr>
                <w:lang w:val="en-US"/>
              </w:rPr>
              <w:t>Bahamas (Commonwealth of the)/</w:t>
            </w:r>
            <w:r w:rsidR="00634855">
              <w:rPr>
                <w:lang w:val="en-US"/>
              </w:rPr>
              <w:t>Belize/</w:t>
            </w:r>
            <w:r w:rsidR="00884D60" w:rsidRPr="00055FAC">
              <w:rPr>
                <w:lang w:val="en-US"/>
              </w:rPr>
              <w:t>Canada/Costa Rica/Ecuador/</w:t>
            </w:r>
            <w:r w:rsidR="00DB02C1" w:rsidRPr="00055FAC">
              <w:rPr>
                <w:lang w:val="en-US"/>
              </w:rPr>
              <w:br/>
            </w:r>
            <w:r w:rsidR="00884D60" w:rsidRPr="00055FAC">
              <w:rPr>
                <w:lang w:val="en-US"/>
              </w:rPr>
              <w:t>United States of America/Jamaica/Paraguay (Republic of)</w:t>
            </w:r>
          </w:p>
        </w:tc>
      </w:tr>
      <w:tr w:rsidR="00E55816" w:rsidRPr="00055FAC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055FAC" w:rsidRDefault="007D5320" w:rsidP="00E55816">
            <w:pPr>
              <w:pStyle w:val="Title1"/>
              <w:rPr>
                <w:lang w:val="en-US"/>
              </w:rPr>
            </w:pPr>
            <w:r w:rsidRPr="00055FAC">
              <w:rPr>
                <w:lang w:val="en-US"/>
              </w:rPr>
              <w:t>Proposals for the work of the conference</w:t>
            </w:r>
          </w:p>
        </w:tc>
      </w:tr>
      <w:tr w:rsidR="00E55816" w:rsidRPr="00055FAC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055FAC" w:rsidRDefault="00E55816" w:rsidP="00E55816">
            <w:pPr>
              <w:pStyle w:val="Title2"/>
              <w:rPr>
                <w:lang w:val="en-US"/>
              </w:rPr>
            </w:pPr>
          </w:p>
        </w:tc>
      </w:tr>
      <w:tr w:rsidR="00A538A6" w:rsidRPr="00055FAC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055FAC" w:rsidRDefault="004B13CB" w:rsidP="004B13CB">
            <w:pPr>
              <w:pStyle w:val="Agendaitem"/>
              <w:rPr>
                <w:lang w:val="en-US"/>
              </w:rPr>
            </w:pPr>
            <w:r w:rsidRPr="00055FAC">
              <w:rPr>
                <w:lang w:val="en-US"/>
              </w:rPr>
              <w:t>Agenda item 1.6.2</w:t>
            </w:r>
          </w:p>
        </w:tc>
      </w:tr>
    </w:tbl>
    <w:bookmarkEnd w:id="7"/>
    <w:bookmarkEnd w:id="8"/>
    <w:p w:rsidR="0010142A" w:rsidRPr="00055FAC" w:rsidRDefault="00520632" w:rsidP="0010142A">
      <w:pPr>
        <w:overflowPunct/>
        <w:autoSpaceDE/>
        <w:autoSpaceDN/>
        <w:adjustRightInd/>
        <w:textAlignment w:val="auto"/>
        <w:rPr>
          <w:lang w:val="en-US"/>
        </w:rPr>
      </w:pPr>
      <w:r w:rsidRPr="00055FAC">
        <w:rPr>
          <w:lang w:val="en-US"/>
        </w:rPr>
        <w:t>1.6</w:t>
      </w:r>
      <w:r w:rsidRPr="00055FAC">
        <w:rPr>
          <w:lang w:val="en-US"/>
        </w:rPr>
        <w:tab/>
        <w:t>to consider possible additional primary allocations:</w:t>
      </w:r>
    </w:p>
    <w:p w:rsidR="00FD3324" w:rsidRPr="00055FAC" w:rsidRDefault="00520632" w:rsidP="00FD3324">
      <w:pPr>
        <w:overflowPunct/>
        <w:autoSpaceDE/>
        <w:autoSpaceDN/>
        <w:adjustRightInd/>
        <w:textAlignment w:val="auto"/>
        <w:rPr>
          <w:lang w:val="en-US"/>
        </w:rPr>
      </w:pPr>
      <w:r w:rsidRPr="00055FAC">
        <w:rPr>
          <w:lang w:val="en-US"/>
        </w:rPr>
        <w:t>1.6.2</w:t>
      </w:r>
      <w:r w:rsidRPr="00055FAC">
        <w:rPr>
          <w:lang w:val="en-US"/>
        </w:rPr>
        <w:tab/>
        <w:t>to the fixed-satellite service (Earth-to-space) of 250 MHz in Region 2 and 300 MHz in Region 3 within the range 13-17 GHz;</w:t>
      </w:r>
    </w:p>
    <w:p w:rsidR="00CE7156" w:rsidRPr="00055FAC" w:rsidRDefault="00520632" w:rsidP="00CE7156">
      <w:pPr>
        <w:overflowPunct/>
        <w:autoSpaceDE/>
        <w:autoSpaceDN/>
        <w:adjustRightInd/>
        <w:textAlignment w:val="auto"/>
        <w:rPr>
          <w:bCs/>
          <w:lang w:val="en-US"/>
        </w:rPr>
      </w:pPr>
      <w:r w:rsidRPr="00055FAC">
        <w:rPr>
          <w:lang w:val="en-US"/>
        </w:rPr>
        <w:t>and review the regulatory provisions on the current allocations to the fixed-satellite service within each range, taking into account the results of ITU</w:t>
      </w:r>
      <w:r w:rsidRPr="00055FAC">
        <w:rPr>
          <w:lang w:val="en-US"/>
        </w:rPr>
        <w:noBreakHyphen/>
        <w:t>R studies, in accordance with Resolutions </w:t>
      </w:r>
      <w:r w:rsidRPr="00055FAC">
        <w:rPr>
          <w:b/>
          <w:bCs/>
          <w:lang w:val="en-US"/>
        </w:rPr>
        <w:t>151 (WRC</w:t>
      </w:r>
      <w:r w:rsidRPr="00055FAC">
        <w:rPr>
          <w:b/>
          <w:bCs/>
          <w:lang w:val="en-US"/>
        </w:rPr>
        <w:noBreakHyphen/>
        <w:t>12)</w:t>
      </w:r>
      <w:r w:rsidRPr="00055FAC">
        <w:rPr>
          <w:lang w:val="en-US"/>
        </w:rPr>
        <w:t xml:space="preserve"> and </w:t>
      </w:r>
      <w:r w:rsidRPr="00055FAC">
        <w:rPr>
          <w:b/>
          <w:bCs/>
          <w:lang w:val="en-US"/>
        </w:rPr>
        <w:t>152 (WRC</w:t>
      </w:r>
      <w:r w:rsidRPr="00055FAC">
        <w:rPr>
          <w:b/>
          <w:bCs/>
          <w:lang w:val="en-US"/>
        </w:rPr>
        <w:noBreakHyphen/>
        <w:t>12)</w:t>
      </w:r>
      <w:r w:rsidRPr="00055FAC">
        <w:rPr>
          <w:lang w:val="en-US"/>
        </w:rPr>
        <w:t>, respectively</w:t>
      </w:r>
      <w:r w:rsidRPr="00055FAC">
        <w:rPr>
          <w:bCs/>
          <w:lang w:val="en-US"/>
        </w:rPr>
        <w:t>;</w:t>
      </w:r>
    </w:p>
    <w:p w:rsidR="00BD0A76" w:rsidRPr="00055FAC" w:rsidRDefault="00BD0A76" w:rsidP="00062FA3">
      <w:pPr>
        <w:pStyle w:val="Headingb"/>
        <w:rPr>
          <w:lang w:val="en-US"/>
        </w:rPr>
      </w:pPr>
      <w:r w:rsidRPr="00055FAC">
        <w:rPr>
          <w:lang w:val="en-US"/>
        </w:rPr>
        <w:t xml:space="preserve">Background </w:t>
      </w:r>
    </w:p>
    <w:p w:rsidR="00BD0A76" w:rsidRPr="00055FAC" w:rsidRDefault="00BD0A76" w:rsidP="00CD61ED">
      <w:pPr>
        <w:rPr>
          <w:lang w:val="en-US"/>
        </w:rPr>
      </w:pPr>
      <w:r w:rsidRPr="00055FAC">
        <w:rPr>
          <w:lang w:val="en-US"/>
        </w:rPr>
        <w:t xml:space="preserve">The bands between 13 and 17 GHz have allocations to a variety of services with worldwide applications, including Earth exploration-satellite, space research, aeronautical radionavigation, fixed, mobile and aeronautical mobile services, representing significant and, in many cases global commitments by </w:t>
      </w:r>
      <w:r w:rsidR="00062FA3" w:rsidRPr="00055FAC">
        <w:rPr>
          <w:lang w:val="en-US"/>
        </w:rPr>
        <w:t>a</w:t>
      </w:r>
      <w:r w:rsidRPr="00055FAC">
        <w:rPr>
          <w:lang w:val="en-US"/>
        </w:rPr>
        <w:t>dministrations.</w:t>
      </w:r>
      <w:r w:rsidR="00062FA3" w:rsidRPr="00055FAC">
        <w:rPr>
          <w:lang w:val="en-US"/>
        </w:rPr>
        <w:t xml:space="preserve"> </w:t>
      </w:r>
      <w:r w:rsidRPr="00055FAC">
        <w:rPr>
          <w:lang w:val="en-US"/>
        </w:rPr>
        <w:t>Efforts to rectify previous WRC agreements that created imbalances between fixed-satellite service (FSS) up and downlinks in the frequency range 13-17</w:t>
      </w:r>
      <w:r w:rsidR="00062FA3" w:rsidRPr="00055FAC">
        <w:rPr>
          <w:lang w:val="en-US"/>
        </w:rPr>
        <w:t> </w:t>
      </w:r>
      <w:r w:rsidRPr="00055FAC">
        <w:rPr>
          <w:lang w:val="en-US"/>
        </w:rPr>
        <w:t>GHz need to ensure the protection of vital incumbent operations.</w:t>
      </w:r>
      <w:r w:rsidR="00062FA3" w:rsidRPr="00055FAC">
        <w:rPr>
          <w:lang w:val="en-US"/>
        </w:rPr>
        <w:t xml:space="preserve"> </w:t>
      </w:r>
      <w:r w:rsidRPr="00055FAC">
        <w:rPr>
          <w:lang w:val="en-US"/>
        </w:rPr>
        <w:t xml:space="preserve">CITEL submitted separate </w:t>
      </w:r>
      <w:r w:rsidRPr="00055FAC">
        <w:rPr>
          <w:u w:val="single"/>
          <w:lang w:val="en-US"/>
        </w:rPr>
        <w:t>NOC</w:t>
      </w:r>
      <w:r w:rsidRPr="00055FAC">
        <w:rPr>
          <w:lang w:val="en-US"/>
        </w:rPr>
        <w:t xml:space="preserve"> proposals covering 13.25-13.4 GHz, 13.4-13.75 GHz, 15.4-17.0 GHz.</w:t>
      </w:r>
      <w:r w:rsidR="00062FA3" w:rsidRPr="00055FAC">
        <w:rPr>
          <w:lang w:val="en-US"/>
        </w:rPr>
        <w:t xml:space="preserve"> </w:t>
      </w:r>
      <w:r w:rsidRPr="00055FAC">
        <w:rPr>
          <w:lang w:val="en-US"/>
        </w:rPr>
        <w:t xml:space="preserve">This proposal presents an </w:t>
      </w:r>
      <w:r w:rsidRPr="00055FAC">
        <w:rPr>
          <w:u w:val="single"/>
          <w:lang w:val="en-US"/>
        </w:rPr>
        <w:t>NOC</w:t>
      </w:r>
      <w:r w:rsidRPr="00055FAC">
        <w:rPr>
          <w:lang w:val="en-US"/>
        </w:rPr>
        <w:t xml:space="preserve"> proposal covering the 14.5-15.35 GHz.</w:t>
      </w:r>
      <w:r w:rsidR="00062FA3" w:rsidRPr="00055FAC">
        <w:rPr>
          <w:lang w:val="en-US"/>
        </w:rPr>
        <w:t xml:space="preserve"> </w:t>
      </w:r>
      <w:r w:rsidRPr="00055FAC">
        <w:rPr>
          <w:lang w:val="en-US"/>
        </w:rPr>
        <w:t xml:space="preserve">The countries signatory to this document do not support an </w:t>
      </w:r>
      <w:r w:rsidRPr="00055FAC">
        <w:rPr>
          <w:rFonts w:eastAsia="SimSun"/>
          <w:lang w:val="en-US" w:eastAsia="zh-CN"/>
        </w:rPr>
        <w:t>additional primary allocation to the FSS (Earth-to-space)</w:t>
      </w:r>
      <w:r w:rsidRPr="00055FAC">
        <w:rPr>
          <w:lang w:val="en-US"/>
        </w:rPr>
        <w:t xml:space="preserve"> in the frequency range 14.5-15.35</w:t>
      </w:r>
      <w:r w:rsidR="00CD61ED" w:rsidRPr="00055FAC">
        <w:rPr>
          <w:lang w:val="en-US"/>
        </w:rPr>
        <w:t> </w:t>
      </w:r>
      <w:r w:rsidRPr="00055FAC">
        <w:rPr>
          <w:lang w:val="en-US"/>
        </w:rPr>
        <w:t xml:space="preserve">GHz in either Region 2 or 3 due to interference into existing global services. </w:t>
      </w:r>
    </w:p>
    <w:p w:rsidR="00BD0A76" w:rsidRPr="00055FAC" w:rsidRDefault="00BD0A76" w:rsidP="00062FA3">
      <w:pPr>
        <w:rPr>
          <w:lang w:val="en-US"/>
        </w:rPr>
      </w:pPr>
      <w:r w:rsidRPr="00055FAC">
        <w:rPr>
          <w:lang w:val="en-US"/>
        </w:rPr>
        <w:t>The 14.5-15.35 GHz frequency range has allocations to the fixed and mobile services on a primary basis in all three ITU Regions.</w:t>
      </w:r>
      <w:r w:rsidR="00062FA3" w:rsidRPr="00055FAC">
        <w:rPr>
          <w:lang w:val="en-US"/>
        </w:rPr>
        <w:t xml:space="preserve"> </w:t>
      </w:r>
      <w:r w:rsidRPr="00055FAC">
        <w:rPr>
          <w:lang w:val="en-US"/>
        </w:rPr>
        <w:t>The 14.5-14.8 GHz frequency band also has an allocation to the FSS on a primary basis in all three ITU Regions subject to Radio Regulation No. 5.510.</w:t>
      </w:r>
      <w:r w:rsidR="00062FA3" w:rsidRPr="00055FAC">
        <w:rPr>
          <w:lang w:val="en-US"/>
        </w:rPr>
        <w:t xml:space="preserve"> </w:t>
      </w:r>
      <w:r w:rsidRPr="00055FAC">
        <w:rPr>
          <w:lang w:val="en-US"/>
        </w:rPr>
        <w:t>No. 5.510 limits FSS use to feeder links for the broadcasting-satellite service outside Europe, which are subject to the Appendix 30A Broadcast Satellite Plan and associated procedures.</w:t>
      </w:r>
      <w:r w:rsidR="00062FA3" w:rsidRPr="00055FAC">
        <w:rPr>
          <w:lang w:val="en-US"/>
        </w:rPr>
        <w:t xml:space="preserve"> </w:t>
      </w:r>
      <w:r w:rsidRPr="00055FAC">
        <w:rPr>
          <w:lang w:val="en-US"/>
        </w:rPr>
        <w:t>The space research service has an allocation on a secondary basis in the frequency range 14.5-15.35 GHz in all three regions.</w:t>
      </w:r>
      <w:r w:rsidR="00062FA3" w:rsidRPr="00055FAC">
        <w:rPr>
          <w:lang w:val="en-US"/>
        </w:rPr>
        <w:t xml:space="preserve"> </w:t>
      </w:r>
      <w:r w:rsidRPr="00055FAC">
        <w:rPr>
          <w:lang w:val="en-US"/>
        </w:rPr>
        <w:t>Aeronautical mobile data links currently operate in the 14.5-15.35 GHz range under the mobile service (MS) allocation, the parent service to aeronautical mobile service (AMS).</w:t>
      </w:r>
    </w:p>
    <w:p w:rsidR="00BD0A76" w:rsidRPr="00055FAC" w:rsidRDefault="00BD0A76" w:rsidP="00062FA3">
      <w:pPr>
        <w:rPr>
          <w:lang w:val="en-US"/>
        </w:rPr>
      </w:pPr>
      <w:r w:rsidRPr="00055FAC">
        <w:rPr>
          <w:lang w:val="en-US"/>
        </w:rPr>
        <w:lastRenderedPageBreak/>
        <w:t xml:space="preserve">Many </w:t>
      </w:r>
      <w:r w:rsidR="00062FA3" w:rsidRPr="00055FAC">
        <w:rPr>
          <w:lang w:val="en-US"/>
        </w:rPr>
        <w:t>a</w:t>
      </w:r>
      <w:r w:rsidRPr="00055FAC">
        <w:rPr>
          <w:lang w:val="en-US"/>
        </w:rPr>
        <w:t>dministrations have implemented fixed links supporting the national telecommunications backbone infrastructure and other essential operations, such as the relay of air traffic control radar data.</w:t>
      </w:r>
      <w:r w:rsidR="00062FA3" w:rsidRPr="00055FAC">
        <w:rPr>
          <w:lang w:val="en-US"/>
        </w:rPr>
        <w:t xml:space="preserve"> </w:t>
      </w:r>
      <w:r w:rsidRPr="00055FAC">
        <w:rPr>
          <w:lang w:val="en-US"/>
        </w:rPr>
        <w:t>ITU studies have shown that i</w:t>
      </w:r>
      <w:r w:rsidRPr="00055FAC">
        <w:rPr>
          <w:snapToGrid w:val="0"/>
          <w:lang w:val="en-US"/>
        </w:rPr>
        <w:t xml:space="preserve">nterference from FSS (Earth-to-space) into the </w:t>
      </w:r>
      <w:r w:rsidRPr="00055FAC">
        <w:rPr>
          <w:lang w:val="en-US"/>
        </w:rPr>
        <w:t>FS may exceed the protection criteria at hundreds of kilometers without careful siting of stations, off-axis antenna gains of both systems, shielding, and avoidance of overlapping channels.</w:t>
      </w:r>
      <w:r w:rsidR="00062FA3" w:rsidRPr="00055FAC">
        <w:rPr>
          <w:lang w:val="en-US"/>
        </w:rPr>
        <w:t xml:space="preserve"> </w:t>
      </w:r>
      <w:r w:rsidRPr="00055FAC">
        <w:rPr>
          <w:lang w:val="en-US"/>
        </w:rPr>
        <w:t>The satellite industry has expressed a desire for ubiquitous FSS use, e.g., dense deployments of Very Small Aperture Terminal (VSAT) operations.</w:t>
      </w:r>
      <w:r w:rsidR="00062FA3" w:rsidRPr="00055FAC">
        <w:rPr>
          <w:lang w:val="en-US"/>
        </w:rPr>
        <w:t xml:space="preserve"> </w:t>
      </w:r>
      <w:r w:rsidRPr="00055FAC">
        <w:rPr>
          <w:lang w:val="en-US"/>
        </w:rPr>
        <w:t>Implementation of satellite uplinks will hinder operation of the fixed service.</w:t>
      </w:r>
    </w:p>
    <w:p w:rsidR="00BD0A76" w:rsidRPr="00055FAC" w:rsidRDefault="00BD0A76" w:rsidP="00062FA3">
      <w:pPr>
        <w:rPr>
          <w:lang w:val="en-US"/>
        </w:rPr>
      </w:pPr>
      <w:r w:rsidRPr="00055FAC">
        <w:rPr>
          <w:lang w:val="en-US"/>
        </w:rPr>
        <w:t xml:space="preserve">Many </w:t>
      </w:r>
      <w:r w:rsidR="00062FA3" w:rsidRPr="00055FAC">
        <w:rPr>
          <w:lang w:val="en-US"/>
        </w:rPr>
        <w:t>a</w:t>
      </w:r>
      <w:r w:rsidRPr="00055FAC">
        <w:rPr>
          <w:lang w:val="en-US"/>
        </w:rPr>
        <w:t>dministrations operate many critical aeronautical mobile systems (uplink, downlink and air-air) on a 24/7 basis around the world to support coordinated security, law enforcement, and humanitarian assistance efforts throughout the 14.5-15.35 GHz frequency range that cannot afford disruptions.</w:t>
      </w:r>
      <w:r w:rsidR="00062FA3" w:rsidRPr="00055FAC">
        <w:rPr>
          <w:lang w:val="en-US"/>
        </w:rPr>
        <w:t xml:space="preserve"> </w:t>
      </w:r>
      <w:r w:rsidRPr="00055FAC">
        <w:rPr>
          <w:lang w:val="en-US"/>
        </w:rPr>
        <w:t>In addition to the studies conducted in the ITU-R, additional analysis were performed of possible approaches to facilitate sharing, e.g., via minimum FSS antenna size-restrictions, PFD limits, and/or other mitigation techniques that could be utilized by FSS providers.</w:t>
      </w:r>
      <w:r w:rsidR="00062FA3" w:rsidRPr="00055FAC">
        <w:rPr>
          <w:lang w:val="en-US"/>
        </w:rPr>
        <w:t xml:space="preserve"> </w:t>
      </w:r>
      <w:r w:rsidRPr="00055FAC">
        <w:rPr>
          <w:lang w:val="en-US"/>
        </w:rPr>
        <w:t>However, in each case, studies concluded that interference to aeronautical mobile operations would still occur over large distances and that implementation of proposed mitigation techniques was not practical.</w:t>
      </w:r>
      <w:r w:rsidR="00062FA3" w:rsidRPr="00055FAC">
        <w:rPr>
          <w:lang w:val="en-US"/>
        </w:rPr>
        <w:t xml:space="preserve"> </w:t>
      </w:r>
      <w:r w:rsidRPr="00055FAC">
        <w:rPr>
          <w:lang w:val="en-US"/>
        </w:rPr>
        <w:t>While larger antennas are likely to decrease the density of FSS deployments and narrow the beams through which aeronautical systems might fly, even signals from low densities of high-gain FSS antennas would frequently exceed airborne receiver thresholds and at greater levels and distances than those resulting from small dishes.</w:t>
      </w:r>
      <w:r w:rsidR="00062FA3" w:rsidRPr="00055FAC">
        <w:rPr>
          <w:lang w:val="en-US"/>
        </w:rPr>
        <w:t xml:space="preserve"> </w:t>
      </w:r>
      <w:r w:rsidRPr="00055FAC">
        <w:rPr>
          <w:lang w:val="en-US"/>
        </w:rPr>
        <w:t>Sharing studies show that in order to protect the AMS receivers operating in the range 14.5-15.35 GHz, there is a required separation distance in the range of 400-575</w:t>
      </w:r>
      <w:r w:rsidR="00062FA3" w:rsidRPr="00055FAC">
        <w:rPr>
          <w:lang w:val="en-US"/>
        </w:rPr>
        <w:t> </w:t>
      </w:r>
      <w:r w:rsidRPr="00055FAC">
        <w:rPr>
          <w:lang w:val="en-US"/>
        </w:rPr>
        <w:t>km for aircraft altitude of 19 km and in the range of 150-180 km for aircraft altitude of 2.4</w:t>
      </w:r>
      <w:r w:rsidR="00062FA3" w:rsidRPr="00055FAC">
        <w:rPr>
          <w:lang w:val="en-US"/>
        </w:rPr>
        <w:t> </w:t>
      </w:r>
      <w:r w:rsidRPr="00055FAC">
        <w:rPr>
          <w:lang w:val="en-US"/>
        </w:rPr>
        <w:t>km.</w:t>
      </w:r>
    </w:p>
    <w:p w:rsidR="00BD0A76" w:rsidRPr="00055FAC" w:rsidRDefault="00BD0A76" w:rsidP="00062FA3">
      <w:pPr>
        <w:rPr>
          <w:lang w:val="en-US"/>
        </w:rPr>
      </w:pPr>
      <w:r w:rsidRPr="00055FAC">
        <w:rPr>
          <w:lang w:val="en-US"/>
        </w:rPr>
        <w:t>It is important to note that the band 14.5-14.8 GHz is allocated to the FSS (Earth-to-space), limited to feeder links for the broadcasting-satellite service (BSS) outside Europe.</w:t>
      </w:r>
      <w:r w:rsidR="00062FA3" w:rsidRPr="00055FAC">
        <w:rPr>
          <w:lang w:val="en-US"/>
        </w:rPr>
        <w:t xml:space="preserve"> </w:t>
      </w:r>
      <w:r w:rsidRPr="00055FAC">
        <w:rPr>
          <w:lang w:val="en-US"/>
        </w:rPr>
        <w:t>Such planned bands anticipate the future needs of developing countries.</w:t>
      </w:r>
      <w:r w:rsidR="00062FA3" w:rsidRPr="00055FAC">
        <w:rPr>
          <w:lang w:val="en-US"/>
        </w:rPr>
        <w:t xml:space="preserve"> </w:t>
      </w:r>
      <w:r w:rsidRPr="00055FAC">
        <w:rPr>
          <w:lang w:val="en-US"/>
        </w:rPr>
        <w:t>Despite some satellites currently recorded in the Master International Frequency Register, no typical or specific earth stations have been notified for this band.</w:t>
      </w:r>
      <w:r w:rsidR="00062FA3" w:rsidRPr="00055FAC">
        <w:rPr>
          <w:lang w:val="en-US"/>
        </w:rPr>
        <w:t xml:space="preserve"> </w:t>
      </w:r>
      <w:r w:rsidRPr="00055FAC">
        <w:rPr>
          <w:lang w:val="en-US"/>
        </w:rPr>
        <w:t>The limitation to FSS feeder links for BSS, while not ensuring protection of all AMS operations, minimizes the potential conflict.</w:t>
      </w:r>
    </w:p>
    <w:p w:rsidR="00187BD9" w:rsidRPr="00055FAC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055FAC">
        <w:rPr>
          <w:lang w:val="en-US"/>
        </w:rPr>
        <w:br w:type="page"/>
      </w:r>
    </w:p>
    <w:p w:rsidR="009B463A" w:rsidRPr="00055FAC" w:rsidRDefault="00520632" w:rsidP="009B463A">
      <w:pPr>
        <w:pStyle w:val="ArtNo"/>
        <w:rPr>
          <w:lang w:val="en-US"/>
        </w:rPr>
      </w:pPr>
      <w:bookmarkStart w:id="9" w:name="_Toc327956582"/>
      <w:r w:rsidRPr="00055FAC">
        <w:rPr>
          <w:lang w:val="en-US"/>
        </w:rPr>
        <w:lastRenderedPageBreak/>
        <w:t xml:space="preserve">ARTICLE </w:t>
      </w:r>
      <w:r w:rsidRPr="00055FAC">
        <w:rPr>
          <w:rStyle w:val="href"/>
          <w:rFonts w:eastAsiaTheme="majorEastAsia"/>
          <w:color w:val="000000"/>
          <w:lang w:val="en-US"/>
        </w:rPr>
        <w:t>5</w:t>
      </w:r>
      <w:bookmarkEnd w:id="9"/>
    </w:p>
    <w:p w:rsidR="009B463A" w:rsidRPr="00055FAC" w:rsidRDefault="00520632" w:rsidP="009B463A">
      <w:pPr>
        <w:pStyle w:val="Arttitle"/>
        <w:rPr>
          <w:lang w:val="en-US"/>
        </w:rPr>
      </w:pPr>
      <w:bookmarkStart w:id="10" w:name="_Toc327956583"/>
      <w:r w:rsidRPr="00055FAC">
        <w:rPr>
          <w:lang w:val="en-US"/>
        </w:rPr>
        <w:t>Frequency allocations</w:t>
      </w:r>
      <w:bookmarkEnd w:id="10"/>
    </w:p>
    <w:p w:rsidR="009B463A" w:rsidRPr="00055FAC" w:rsidRDefault="00520632" w:rsidP="009B463A">
      <w:pPr>
        <w:pStyle w:val="Section1"/>
        <w:keepNext/>
        <w:rPr>
          <w:lang w:val="en-US"/>
        </w:rPr>
      </w:pPr>
      <w:r w:rsidRPr="00055FAC">
        <w:rPr>
          <w:lang w:val="en-US"/>
        </w:rPr>
        <w:t>Section IV – Table of Frequency Allocations</w:t>
      </w:r>
      <w:r w:rsidRPr="00055FAC">
        <w:rPr>
          <w:lang w:val="en-US"/>
        </w:rPr>
        <w:br/>
      </w:r>
      <w:r w:rsidRPr="00055FAC">
        <w:rPr>
          <w:b w:val="0"/>
          <w:bCs/>
          <w:lang w:val="en-US"/>
        </w:rPr>
        <w:t xml:space="preserve">(See No. </w:t>
      </w:r>
      <w:r w:rsidRPr="00055FAC">
        <w:rPr>
          <w:lang w:val="en-US"/>
        </w:rPr>
        <w:t>2.1</w:t>
      </w:r>
      <w:r w:rsidRPr="00055FAC">
        <w:rPr>
          <w:b w:val="0"/>
          <w:bCs/>
          <w:lang w:val="en-US"/>
        </w:rPr>
        <w:t>)</w:t>
      </w:r>
      <w:r w:rsidRPr="00055FAC">
        <w:rPr>
          <w:b w:val="0"/>
          <w:bCs/>
          <w:lang w:val="en-US"/>
        </w:rPr>
        <w:br/>
      </w:r>
      <w:r w:rsidRPr="00055FAC">
        <w:rPr>
          <w:lang w:val="en-US"/>
        </w:rPr>
        <w:br/>
      </w:r>
    </w:p>
    <w:p w:rsidR="000042FE" w:rsidRPr="00055FAC" w:rsidRDefault="00520632">
      <w:pPr>
        <w:pStyle w:val="Proposal"/>
        <w:rPr>
          <w:lang w:val="en-US"/>
        </w:rPr>
      </w:pPr>
      <w:r w:rsidRPr="00055FAC">
        <w:rPr>
          <w:u w:val="single"/>
          <w:lang w:val="en-US"/>
        </w:rPr>
        <w:t>NOC</w:t>
      </w:r>
      <w:r w:rsidRPr="00055FAC">
        <w:rPr>
          <w:lang w:val="en-US"/>
        </w:rPr>
        <w:tab/>
      </w:r>
      <w:r w:rsidR="00FC5837" w:rsidRPr="00055FAC">
        <w:rPr>
          <w:lang w:val="en-US"/>
        </w:rPr>
        <w:t>BAH/</w:t>
      </w:r>
      <w:r w:rsidR="00634855">
        <w:rPr>
          <w:lang w:val="en-US"/>
        </w:rPr>
        <w:t>BLZ/</w:t>
      </w:r>
      <w:r w:rsidRPr="00055FAC">
        <w:rPr>
          <w:lang w:val="en-US"/>
        </w:rPr>
        <w:t>CAN/CTR/EQA/USA/JMC/PRG/71/1</w:t>
      </w:r>
    </w:p>
    <w:p w:rsidR="009B463A" w:rsidRPr="00055FAC" w:rsidRDefault="00520632" w:rsidP="009B463A">
      <w:pPr>
        <w:pStyle w:val="Tabletitle"/>
        <w:rPr>
          <w:lang w:val="en-US"/>
        </w:rPr>
      </w:pPr>
      <w:r w:rsidRPr="00055FAC">
        <w:rPr>
          <w:lang w:val="en-US"/>
        </w:rPr>
        <w:t>14-15.4 GHz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RPr="00055FAC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055FAC" w:rsidRDefault="00520632" w:rsidP="00477577">
            <w:pPr>
              <w:pStyle w:val="Tablehead"/>
              <w:rPr>
                <w:lang w:val="en-US"/>
              </w:rPr>
            </w:pPr>
            <w:r w:rsidRPr="00055FAC">
              <w:rPr>
                <w:lang w:val="en-US"/>
              </w:rPr>
              <w:t>Allocation to services</w:t>
            </w:r>
          </w:p>
        </w:tc>
      </w:tr>
      <w:tr w:rsidR="009B463A" w:rsidRPr="00055FAC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055FAC" w:rsidRDefault="00520632" w:rsidP="00477577">
            <w:pPr>
              <w:pStyle w:val="Tablehead"/>
              <w:rPr>
                <w:lang w:val="en-US"/>
              </w:rPr>
            </w:pPr>
            <w:r w:rsidRPr="00055FAC">
              <w:rPr>
                <w:lang w:val="en-US"/>
              </w:rPr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055FAC" w:rsidRDefault="00520632" w:rsidP="00477577">
            <w:pPr>
              <w:pStyle w:val="Tablehead"/>
              <w:rPr>
                <w:lang w:val="en-US"/>
              </w:rPr>
            </w:pPr>
            <w:r w:rsidRPr="00055FAC">
              <w:rPr>
                <w:lang w:val="en-US"/>
              </w:rPr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055FAC" w:rsidRDefault="00520632" w:rsidP="00477577">
            <w:pPr>
              <w:pStyle w:val="Tablehead"/>
              <w:rPr>
                <w:lang w:val="en-US"/>
              </w:rPr>
            </w:pPr>
            <w:r w:rsidRPr="00055FAC">
              <w:rPr>
                <w:lang w:val="en-US"/>
              </w:rPr>
              <w:t>Region 3</w:t>
            </w:r>
          </w:p>
        </w:tc>
      </w:tr>
      <w:tr w:rsidR="009B463A" w:rsidRPr="00055FAC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055FAC" w:rsidRDefault="00520632" w:rsidP="00477577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055FAC">
              <w:rPr>
                <w:rStyle w:val="Tablefreq"/>
                <w:lang w:val="en-US"/>
              </w:rPr>
              <w:t>14.5-14.8</w:t>
            </w:r>
            <w:r w:rsidRPr="00055FAC">
              <w:rPr>
                <w:color w:val="000000"/>
                <w:lang w:val="en-US"/>
              </w:rPr>
              <w:tab/>
              <w:t>FIXED</w:t>
            </w:r>
          </w:p>
          <w:p w:rsidR="009B463A" w:rsidRPr="00055FAC" w:rsidRDefault="00520632" w:rsidP="00477577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055FAC">
              <w:rPr>
                <w:color w:val="000000"/>
                <w:lang w:val="en-US"/>
              </w:rPr>
              <w:tab/>
            </w:r>
            <w:r w:rsidRPr="00055FAC">
              <w:rPr>
                <w:color w:val="000000"/>
                <w:lang w:val="en-US"/>
              </w:rPr>
              <w:tab/>
            </w:r>
            <w:r w:rsidRPr="00055FAC">
              <w:rPr>
                <w:color w:val="000000"/>
                <w:lang w:val="en-US"/>
              </w:rPr>
              <w:tab/>
            </w:r>
            <w:r w:rsidRPr="00055FAC">
              <w:rPr>
                <w:color w:val="000000"/>
                <w:lang w:val="en-US"/>
              </w:rPr>
              <w:tab/>
              <w:t xml:space="preserve">FIXED-SATELLITE (Earth-to-space)  </w:t>
            </w:r>
            <w:r w:rsidRPr="00055FAC">
              <w:rPr>
                <w:rStyle w:val="Artref"/>
                <w:color w:val="000000"/>
                <w:lang w:val="en-US"/>
              </w:rPr>
              <w:t>5.510</w:t>
            </w:r>
          </w:p>
          <w:p w:rsidR="009B463A" w:rsidRPr="00055FAC" w:rsidRDefault="00520632" w:rsidP="00477577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055FAC">
              <w:rPr>
                <w:color w:val="000000"/>
                <w:lang w:val="en-US"/>
              </w:rPr>
              <w:tab/>
            </w:r>
            <w:r w:rsidRPr="00055FAC">
              <w:rPr>
                <w:color w:val="000000"/>
                <w:lang w:val="en-US"/>
              </w:rPr>
              <w:tab/>
            </w:r>
            <w:r w:rsidRPr="00055FAC">
              <w:rPr>
                <w:color w:val="000000"/>
                <w:lang w:val="en-US"/>
              </w:rPr>
              <w:tab/>
            </w:r>
            <w:r w:rsidRPr="00055FAC">
              <w:rPr>
                <w:color w:val="000000"/>
                <w:lang w:val="en-US"/>
              </w:rPr>
              <w:tab/>
              <w:t>MOBILE</w:t>
            </w:r>
          </w:p>
          <w:p w:rsidR="009B463A" w:rsidRPr="00055FAC" w:rsidRDefault="00520632" w:rsidP="00477577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055FAC">
              <w:rPr>
                <w:color w:val="000000"/>
                <w:lang w:val="en-US"/>
              </w:rPr>
              <w:tab/>
            </w:r>
            <w:r w:rsidRPr="00055FAC">
              <w:rPr>
                <w:color w:val="000000"/>
                <w:lang w:val="en-US"/>
              </w:rPr>
              <w:tab/>
            </w:r>
            <w:r w:rsidRPr="00055FAC">
              <w:rPr>
                <w:color w:val="000000"/>
                <w:lang w:val="en-US"/>
              </w:rPr>
              <w:tab/>
            </w:r>
            <w:r w:rsidRPr="00055FAC">
              <w:rPr>
                <w:color w:val="000000"/>
                <w:lang w:val="en-US"/>
              </w:rPr>
              <w:tab/>
              <w:t>Space research</w:t>
            </w:r>
          </w:p>
        </w:tc>
      </w:tr>
      <w:tr w:rsidR="009B463A" w:rsidRPr="00055FAC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055FAC" w:rsidRDefault="00520632" w:rsidP="00477577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055FAC">
              <w:rPr>
                <w:rStyle w:val="Tablefreq"/>
                <w:lang w:val="en-US"/>
              </w:rPr>
              <w:t>14.8-15.35</w:t>
            </w:r>
            <w:r w:rsidRPr="00055FAC">
              <w:rPr>
                <w:color w:val="000000"/>
                <w:lang w:val="en-US"/>
              </w:rPr>
              <w:tab/>
              <w:t>FIXED</w:t>
            </w:r>
          </w:p>
          <w:p w:rsidR="009B463A" w:rsidRPr="00055FAC" w:rsidRDefault="00520632" w:rsidP="00477577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055FAC">
              <w:rPr>
                <w:color w:val="000000"/>
                <w:lang w:val="en-US"/>
              </w:rPr>
              <w:tab/>
            </w:r>
            <w:r w:rsidRPr="00055FAC">
              <w:rPr>
                <w:color w:val="000000"/>
                <w:lang w:val="en-US"/>
              </w:rPr>
              <w:tab/>
            </w:r>
            <w:r w:rsidRPr="00055FAC">
              <w:rPr>
                <w:color w:val="000000"/>
                <w:lang w:val="en-US"/>
              </w:rPr>
              <w:tab/>
            </w:r>
            <w:r w:rsidRPr="00055FAC">
              <w:rPr>
                <w:color w:val="000000"/>
                <w:lang w:val="en-US"/>
              </w:rPr>
              <w:tab/>
              <w:t>MOBILE</w:t>
            </w:r>
          </w:p>
          <w:p w:rsidR="009B463A" w:rsidRPr="00055FAC" w:rsidRDefault="00520632" w:rsidP="00477577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055FAC">
              <w:rPr>
                <w:color w:val="000000"/>
                <w:lang w:val="en-US"/>
              </w:rPr>
              <w:tab/>
            </w:r>
            <w:r w:rsidRPr="00055FAC">
              <w:rPr>
                <w:color w:val="000000"/>
                <w:lang w:val="en-US"/>
              </w:rPr>
              <w:tab/>
            </w:r>
            <w:r w:rsidRPr="00055FAC">
              <w:rPr>
                <w:color w:val="000000"/>
                <w:lang w:val="en-US"/>
              </w:rPr>
              <w:tab/>
            </w:r>
            <w:r w:rsidRPr="00055FAC">
              <w:rPr>
                <w:color w:val="000000"/>
                <w:lang w:val="en-US"/>
              </w:rPr>
              <w:tab/>
              <w:t>Space research</w:t>
            </w:r>
          </w:p>
          <w:p w:rsidR="009B463A" w:rsidRPr="00055FAC" w:rsidRDefault="00520632" w:rsidP="00477577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055FAC">
              <w:rPr>
                <w:color w:val="000000"/>
                <w:lang w:val="en-US"/>
              </w:rPr>
              <w:tab/>
            </w:r>
            <w:r w:rsidRPr="00055FAC">
              <w:rPr>
                <w:color w:val="000000"/>
                <w:lang w:val="en-US"/>
              </w:rPr>
              <w:tab/>
            </w:r>
            <w:r w:rsidRPr="00055FAC">
              <w:rPr>
                <w:color w:val="000000"/>
                <w:lang w:val="en-US"/>
              </w:rPr>
              <w:tab/>
            </w:r>
            <w:r w:rsidRPr="00055FAC">
              <w:rPr>
                <w:color w:val="000000"/>
                <w:lang w:val="en-US"/>
              </w:rPr>
              <w:tab/>
            </w:r>
            <w:r w:rsidRPr="00055FAC">
              <w:rPr>
                <w:rStyle w:val="Artref"/>
                <w:color w:val="000000"/>
                <w:lang w:val="en-US"/>
              </w:rPr>
              <w:t>5.339</w:t>
            </w:r>
          </w:p>
        </w:tc>
      </w:tr>
    </w:tbl>
    <w:p w:rsidR="000042FE" w:rsidRPr="00055FAC" w:rsidRDefault="00520632" w:rsidP="00062FA3">
      <w:pPr>
        <w:pStyle w:val="Reasons"/>
        <w:rPr>
          <w:lang w:val="en-US"/>
        </w:rPr>
      </w:pPr>
      <w:r w:rsidRPr="00055FAC">
        <w:rPr>
          <w:b/>
          <w:lang w:val="en-US"/>
        </w:rPr>
        <w:t>Reasons:</w:t>
      </w:r>
      <w:r w:rsidRPr="00055FAC">
        <w:rPr>
          <w:lang w:val="en-US"/>
        </w:rPr>
        <w:tab/>
      </w:r>
      <w:r w:rsidR="00BD0A76" w:rsidRPr="00055FAC">
        <w:rPr>
          <w:lang w:val="en-US"/>
        </w:rPr>
        <w:t>ITU-R studies indicate a potential for interference into existing FS, MS and AMS systems.</w:t>
      </w:r>
    </w:p>
    <w:p w:rsidR="00BD0A76" w:rsidRPr="00055FAC" w:rsidRDefault="00BD0A76" w:rsidP="00062FA3">
      <w:pPr>
        <w:jc w:val="center"/>
        <w:rPr>
          <w:lang w:val="en-US"/>
        </w:rPr>
      </w:pPr>
      <w:r w:rsidRPr="00055FAC">
        <w:rPr>
          <w:lang w:val="en-US"/>
        </w:rPr>
        <w:t>______________</w:t>
      </w:r>
    </w:p>
    <w:sectPr w:rsidR="00BD0A76" w:rsidRPr="00055FAC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BA5" w:rsidRDefault="00843BA5">
      <w:r>
        <w:separator/>
      </w:r>
    </w:p>
  </w:endnote>
  <w:endnote w:type="continuationSeparator" w:id="0">
    <w:p w:rsidR="00843BA5" w:rsidRDefault="0084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7479A">
      <w:rPr>
        <w:noProof/>
        <w:lang w:val="en-US"/>
      </w:rPr>
      <w:t>Y:\APP\BR\POOL\WRC-15\DOC (Contributions)\1-100\071E.docx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51D3">
      <w:rPr>
        <w:noProof/>
      </w:rPr>
      <w:t>11.11.15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479A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1D3" w:rsidRPr="0041348E" w:rsidRDefault="00DC51D3" w:rsidP="00DC51D3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P:\ENG\ITU-R\CONF-R\CMR15\000\071REV2E.docx</w:t>
    </w:r>
    <w:r>
      <w:fldChar w:fldCharType="end"/>
    </w:r>
    <w:r>
      <w:t xml:space="preserve"> (390044)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11.11.15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DC51D3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C51D3">
      <w:rPr>
        <w:lang w:val="en-US"/>
      </w:rPr>
      <w:t>P:\ENG\ITU-R\CONF-R\CMR15\000\071REV2E.docx</w:t>
    </w:r>
    <w:r>
      <w:fldChar w:fldCharType="end"/>
    </w:r>
    <w:r w:rsidR="00CD61ED">
      <w:t xml:space="preserve"> (</w:t>
    </w:r>
    <w:r w:rsidR="00DC51D3">
      <w:t>390044</w:t>
    </w:r>
    <w:r w:rsidR="00CD61ED">
      <w:t>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51D3">
      <w:t>11.11.15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51D3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BA5" w:rsidRDefault="00843BA5">
      <w:r>
        <w:rPr>
          <w:b/>
        </w:rPr>
        <w:t>_______________</w:t>
      </w:r>
    </w:p>
  </w:footnote>
  <w:footnote w:type="continuationSeparator" w:id="0">
    <w:p w:rsidR="00843BA5" w:rsidRDefault="00843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CD61ED" w:rsidRDefault="00A066F1" w:rsidP="00187BD9">
    <w:pPr>
      <w:pStyle w:val="Header"/>
    </w:pPr>
    <w:r w:rsidRPr="00CD61ED">
      <w:fldChar w:fldCharType="begin"/>
    </w:r>
    <w:r w:rsidRPr="00CD61ED">
      <w:instrText xml:space="preserve"> PAGE  \* MERGEFORMAT </w:instrText>
    </w:r>
    <w:r w:rsidRPr="00CD61ED">
      <w:fldChar w:fldCharType="separate"/>
    </w:r>
    <w:r w:rsidR="00DC51D3">
      <w:rPr>
        <w:noProof/>
      </w:rPr>
      <w:t>2</w:t>
    </w:r>
    <w:r w:rsidRPr="00CD61ED">
      <w:fldChar w:fldCharType="end"/>
    </w:r>
  </w:p>
  <w:p w:rsidR="00A066F1" w:rsidRPr="00A066F1" w:rsidRDefault="00187BD9" w:rsidP="00DC51D3">
    <w:pPr>
      <w:pStyle w:val="Header"/>
    </w:pPr>
    <w:r w:rsidRPr="00CD61ED">
      <w:t>CMR1</w:t>
    </w:r>
    <w:r w:rsidR="00241FA2" w:rsidRPr="00CD61ED">
      <w:t>5</w:t>
    </w:r>
    <w:r w:rsidR="00A066F1" w:rsidRPr="00CD61ED">
      <w:t>/</w:t>
    </w:r>
    <w:bookmarkStart w:id="11" w:name="OLE_LINK1"/>
    <w:bookmarkStart w:id="12" w:name="OLE_LINK2"/>
    <w:bookmarkStart w:id="13" w:name="OLE_LINK3"/>
    <w:r w:rsidR="00EB55C6" w:rsidRPr="00CD61ED">
      <w:t>71</w:t>
    </w:r>
    <w:bookmarkEnd w:id="11"/>
    <w:bookmarkEnd w:id="12"/>
    <w:bookmarkEnd w:id="13"/>
    <w:r w:rsidR="00FC5837" w:rsidRPr="00CD61ED">
      <w:t>(Rev.</w:t>
    </w:r>
    <w:r w:rsidR="00DC51D3">
      <w:t>2</w:t>
    </w:r>
    <w:r w:rsidR="00FC5837" w:rsidRPr="00CD61ED">
      <w:t>)</w:t>
    </w:r>
    <w:r w:rsidRPr="00CD61ED">
      <w:t>-</w:t>
    </w:r>
    <w:r w:rsidR="004A26C4" w:rsidRPr="00CD61ED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042FE"/>
    <w:rsid w:val="00022A29"/>
    <w:rsid w:val="000355FD"/>
    <w:rsid w:val="00051E39"/>
    <w:rsid w:val="00055FAC"/>
    <w:rsid w:val="00062FA3"/>
    <w:rsid w:val="000705F2"/>
    <w:rsid w:val="00077239"/>
    <w:rsid w:val="00086491"/>
    <w:rsid w:val="00091346"/>
    <w:rsid w:val="0009706C"/>
    <w:rsid w:val="000D154B"/>
    <w:rsid w:val="000E3C2F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43C67"/>
    <w:rsid w:val="00271316"/>
    <w:rsid w:val="002B349C"/>
    <w:rsid w:val="002D5750"/>
    <w:rsid w:val="002D58BE"/>
    <w:rsid w:val="00300CFF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20632"/>
    <w:rsid w:val="0055140B"/>
    <w:rsid w:val="00564F5C"/>
    <w:rsid w:val="005964AB"/>
    <w:rsid w:val="005C099A"/>
    <w:rsid w:val="005C31A5"/>
    <w:rsid w:val="005E10C9"/>
    <w:rsid w:val="005E290B"/>
    <w:rsid w:val="005E61DD"/>
    <w:rsid w:val="006023DF"/>
    <w:rsid w:val="00616219"/>
    <w:rsid w:val="00634855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43BA5"/>
    <w:rsid w:val="00872FC8"/>
    <w:rsid w:val="008845D0"/>
    <w:rsid w:val="00884D60"/>
    <w:rsid w:val="008B43F2"/>
    <w:rsid w:val="008B6084"/>
    <w:rsid w:val="008B6CFF"/>
    <w:rsid w:val="009274B4"/>
    <w:rsid w:val="00934EA2"/>
    <w:rsid w:val="00944A5C"/>
    <w:rsid w:val="00952A66"/>
    <w:rsid w:val="00975E8A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0A76"/>
    <w:rsid w:val="00BD6CCE"/>
    <w:rsid w:val="00C0018F"/>
    <w:rsid w:val="00C16A5A"/>
    <w:rsid w:val="00C20466"/>
    <w:rsid w:val="00C214ED"/>
    <w:rsid w:val="00C234E6"/>
    <w:rsid w:val="00C24DF2"/>
    <w:rsid w:val="00C324A8"/>
    <w:rsid w:val="00C54517"/>
    <w:rsid w:val="00C64CD8"/>
    <w:rsid w:val="00C97C68"/>
    <w:rsid w:val="00CA1A47"/>
    <w:rsid w:val="00CB44E5"/>
    <w:rsid w:val="00CC247A"/>
    <w:rsid w:val="00CD61ED"/>
    <w:rsid w:val="00CE388F"/>
    <w:rsid w:val="00CE5E47"/>
    <w:rsid w:val="00CF020F"/>
    <w:rsid w:val="00CF2B5B"/>
    <w:rsid w:val="00D14CE0"/>
    <w:rsid w:val="00D268B3"/>
    <w:rsid w:val="00D43D1B"/>
    <w:rsid w:val="00D54009"/>
    <w:rsid w:val="00D5651D"/>
    <w:rsid w:val="00D57A34"/>
    <w:rsid w:val="00D7479A"/>
    <w:rsid w:val="00D74898"/>
    <w:rsid w:val="00D801ED"/>
    <w:rsid w:val="00D936BC"/>
    <w:rsid w:val="00D96530"/>
    <w:rsid w:val="00DB02C1"/>
    <w:rsid w:val="00DC51D3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C5837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00BF49D-5557-43A7-869F-3ACFFE92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CF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R15-WRC15-C-0071!!MSW-E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6D85E-361A-48C7-B390-AE8442B25305}">
  <ds:schemaRefs>
    <ds:schemaRef ds:uri="http://www.w3.org/XML/1998/namespace"/>
    <ds:schemaRef ds:uri="http://purl.org/dc/dcmitype/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4E3B17-6E10-42C8-BD26-12973FE9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7</TotalTime>
  <Pages>3</Pages>
  <Words>795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R15-WRC15-C-0071!!MSW-E</vt:lpstr>
    </vt:vector>
  </TitlesOfParts>
  <Manager>General Secretariat - Pool</Manager>
  <Company>International Telecommunication Union (ITU)</Company>
  <LinksUpToDate>false</LinksUpToDate>
  <CharactersWithSpaces>5579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R15-WRC15-C-0071!!MSW-E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Hourican, Maria</cp:lastModifiedBy>
  <cp:revision>3</cp:revision>
  <cp:lastPrinted>2015-10-16T13:54:00Z</cp:lastPrinted>
  <dcterms:created xsi:type="dcterms:W3CDTF">2015-11-11T18:13:00Z</dcterms:created>
  <dcterms:modified xsi:type="dcterms:W3CDTF">2015-11-11T18:22:00Z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