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31A01" w:rsidTr="001226EC">
        <w:trPr>
          <w:cantSplit/>
        </w:trPr>
        <w:tc>
          <w:tcPr>
            <w:tcW w:w="6771" w:type="dxa"/>
          </w:tcPr>
          <w:p w:rsidR="005651C9" w:rsidRPr="00431A0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31A0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31A0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31A0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31A01">
              <w:rPr>
                <w:rFonts w:ascii="Verdana" w:hAnsi="Verdana"/>
                <w:b/>
                <w:bCs/>
                <w:szCs w:val="22"/>
              </w:rPr>
              <w:t>15)</w:t>
            </w:r>
            <w:r w:rsidRPr="00431A0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31A0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31A01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31A01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31A0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31A0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431A0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31A0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31A0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31A0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31A0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31A01" w:rsidTr="001226EC">
        <w:trPr>
          <w:cantSplit/>
        </w:trPr>
        <w:tc>
          <w:tcPr>
            <w:tcW w:w="6771" w:type="dxa"/>
          </w:tcPr>
          <w:p w:rsidR="005651C9" w:rsidRPr="00431A01" w:rsidRDefault="00431A01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31A01">
              <w:rPr>
                <w:rFonts w:ascii="Verdana" w:hAnsi="Verdana"/>
                <w:b/>
                <w:smallCaps/>
                <w:sz w:val="18"/>
                <w:szCs w:val="22"/>
              </w:rPr>
              <w:t>КОМИТЕТ 5</w:t>
            </w:r>
          </w:p>
        </w:tc>
        <w:tc>
          <w:tcPr>
            <w:tcW w:w="3260" w:type="dxa"/>
          </w:tcPr>
          <w:p w:rsidR="005651C9" w:rsidRPr="00431A0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31A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2</w:t>
            </w:r>
            <w:r w:rsidRPr="00431A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71</w:t>
            </w:r>
            <w:r w:rsidR="005651C9" w:rsidRPr="00431A0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31A0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31A01" w:rsidTr="001226EC">
        <w:trPr>
          <w:cantSplit/>
        </w:trPr>
        <w:tc>
          <w:tcPr>
            <w:tcW w:w="6771" w:type="dxa"/>
          </w:tcPr>
          <w:p w:rsidR="000F33D8" w:rsidRPr="00431A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31A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31A01">
              <w:rPr>
                <w:rFonts w:ascii="Verdana" w:hAnsi="Verdana"/>
                <w:b/>
                <w:bCs/>
                <w:sz w:val="18"/>
                <w:szCs w:val="18"/>
              </w:rPr>
              <w:t>12 ноября 2015 года</w:t>
            </w:r>
          </w:p>
        </w:tc>
      </w:tr>
      <w:tr w:rsidR="000F33D8" w:rsidRPr="00431A01" w:rsidTr="001226EC">
        <w:trPr>
          <w:cantSplit/>
        </w:trPr>
        <w:tc>
          <w:tcPr>
            <w:tcW w:w="6771" w:type="dxa"/>
          </w:tcPr>
          <w:p w:rsidR="000F33D8" w:rsidRPr="00431A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31A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31A0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31A01" w:rsidTr="009546EA">
        <w:trPr>
          <w:cantSplit/>
        </w:trPr>
        <w:tc>
          <w:tcPr>
            <w:tcW w:w="10031" w:type="dxa"/>
            <w:gridSpan w:val="2"/>
          </w:tcPr>
          <w:p w:rsidR="000F33D8" w:rsidRPr="00431A0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31A01">
        <w:trPr>
          <w:cantSplit/>
        </w:trPr>
        <w:tc>
          <w:tcPr>
            <w:tcW w:w="10031" w:type="dxa"/>
            <w:gridSpan w:val="2"/>
          </w:tcPr>
          <w:p w:rsidR="000F33D8" w:rsidRPr="00431A01" w:rsidRDefault="000F33D8" w:rsidP="00431A01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31A01">
              <w:rPr>
                <w:szCs w:val="26"/>
              </w:rPr>
              <w:t>Содружество Багамских Островов</w:t>
            </w:r>
            <w:r w:rsidR="00431A01" w:rsidRPr="00431A01">
              <w:rPr>
                <w:szCs w:val="26"/>
              </w:rPr>
              <w:t xml:space="preserve">, </w:t>
            </w:r>
            <w:r w:rsidRPr="00431A01">
              <w:rPr>
                <w:szCs w:val="26"/>
              </w:rPr>
              <w:t>Белиз</w:t>
            </w:r>
            <w:r w:rsidR="00431A01" w:rsidRPr="00431A01">
              <w:rPr>
                <w:szCs w:val="26"/>
              </w:rPr>
              <w:t xml:space="preserve">, </w:t>
            </w:r>
            <w:r w:rsidRPr="00431A01">
              <w:rPr>
                <w:szCs w:val="26"/>
              </w:rPr>
              <w:t>Канада</w:t>
            </w:r>
            <w:r w:rsidR="00431A01" w:rsidRPr="00431A01">
              <w:rPr>
                <w:szCs w:val="26"/>
              </w:rPr>
              <w:t xml:space="preserve">, </w:t>
            </w:r>
            <w:r w:rsidRPr="00431A01">
              <w:rPr>
                <w:szCs w:val="26"/>
              </w:rPr>
              <w:t>Коста-Рика</w:t>
            </w:r>
            <w:r w:rsidR="00431A01" w:rsidRPr="00431A01">
              <w:rPr>
                <w:szCs w:val="26"/>
              </w:rPr>
              <w:t xml:space="preserve">, </w:t>
            </w:r>
            <w:r w:rsidRPr="00431A01">
              <w:rPr>
                <w:szCs w:val="26"/>
              </w:rPr>
              <w:t>Эквадор</w:t>
            </w:r>
            <w:r w:rsidR="00431A01" w:rsidRPr="00431A01">
              <w:rPr>
                <w:szCs w:val="26"/>
              </w:rPr>
              <w:t xml:space="preserve">, </w:t>
            </w:r>
            <w:r w:rsidRPr="00431A01">
              <w:rPr>
                <w:szCs w:val="26"/>
              </w:rPr>
              <w:t>Соединенные Штаты Америки</w:t>
            </w:r>
            <w:r w:rsidR="00431A01" w:rsidRPr="00431A01">
              <w:rPr>
                <w:szCs w:val="26"/>
              </w:rPr>
              <w:t xml:space="preserve">, </w:t>
            </w:r>
            <w:r w:rsidRPr="00431A01">
              <w:rPr>
                <w:szCs w:val="26"/>
              </w:rPr>
              <w:t>Ямайка</w:t>
            </w:r>
            <w:r w:rsidR="00431A01" w:rsidRPr="00431A01">
              <w:rPr>
                <w:szCs w:val="26"/>
              </w:rPr>
              <w:t xml:space="preserve">, </w:t>
            </w:r>
            <w:r w:rsidRPr="00431A01">
              <w:rPr>
                <w:szCs w:val="26"/>
              </w:rPr>
              <w:t>Парагвай (Республика)</w:t>
            </w:r>
          </w:p>
        </w:tc>
      </w:tr>
      <w:tr w:rsidR="000F33D8" w:rsidRPr="00431A01">
        <w:trPr>
          <w:cantSplit/>
        </w:trPr>
        <w:tc>
          <w:tcPr>
            <w:tcW w:w="10031" w:type="dxa"/>
            <w:gridSpan w:val="2"/>
          </w:tcPr>
          <w:p w:rsidR="000F33D8" w:rsidRPr="00431A01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31A0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31A01">
        <w:trPr>
          <w:cantSplit/>
        </w:trPr>
        <w:tc>
          <w:tcPr>
            <w:tcW w:w="10031" w:type="dxa"/>
            <w:gridSpan w:val="2"/>
          </w:tcPr>
          <w:p w:rsidR="000F33D8" w:rsidRPr="00431A01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31A01">
        <w:trPr>
          <w:cantSplit/>
        </w:trPr>
        <w:tc>
          <w:tcPr>
            <w:tcW w:w="10031" w:type="dxa"/>
            <w:gridSpan w:val="2"/>
          </w:tcPr>
          <w:p w:rsidR="000F33D8" w:rsidRPr="00431A01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31A01">
              <w:rPr>
                <w:lang w:val="ru-RU"/>
              </w:rPr>
              <w:t>Пункт 1.6.2 повестки дня</w:t>
            </w:r>
          </w:p>
        </w:tc>
      </w:tr>
    </w:tbl>
    <w:bookmarkEnd w:id="6"/>
    <w:p w:rsidR="00D51940" w:rsidRPr="00431A01" w:rsidRDefault="00431A01" w:rsidP="00431A01">
      <w:pPr>
        <w:pStyle w:val="Normalaftertitle"/>
      </w:pPr>
      <w:r w:rsidRPr="00431A01">
        <w:t>1.6</w:t>
      </w:r>
      <w:r w:rsidRPr="00431A01">
        <w:tab/>
        <w:t>рассмотреть возможные дополнительные первичные распределения:</w:t>
      </w:r>
    </w:p>
    <w:p w:rsidR="00CA74EE" w:rsidRPr="00431A01" w:rsidRDefault="00431A01" w:rsidP="00CA74EE">
      <w:pPr>
        <w:rPr>
          <w:szCs w:val="22"/>
        </w:rPr>
      </w:pPr>
      <w:r w:rsidRPr="00431A01">
        <w:rPr>
          <w:szCs w:val="22"/>
        </w:rPr>
        <w:t>1.6.2</w:t>
      </w:r>
      <w:r w:rsidRPr="00431A01">
        <w:rPr>
          <w:szCs w:val="22"/>
        </w:rPr>
        <w:tab/>
        <w:t>250 МГц в Районе 2 и 300 МГц в Районе 3 фиксированной спутниковой службе (Земля</w:t>
      </w:r>
      <w:r w:rsidRPr="00431A01">
        <w:rPr>
          <w:szCs w:val="22"/>
        </w:rPr>
        <w:noBreakHyphen/>
        <w:t>космос) в диапазоне 13−17 ГГц;</w:t>
      </w:r>
    </w:p>
    <w:p w:rsidR="00CA74EE" w:rsidRPr="00431A01" w:rsidRDefault="00431A01" w:rsidP="005F5614">
      <w:pPr>
        <w:rPr>
          <w:szCs w:val="22"/>
        </w:rPr>
      </w:pPr>
      <w:r w:rsidRPr="00431A01">
        <w:rPr>
          <w:szCs w:val="22"/>
        </w:rPr>
        <w:t xml:space="preserve">и рассмотреть </w:t>
      </w:r>
      <w:proofErr w:type="spellStart"/>
      <w:r w:rsidRPr="00431A01">
        <w:rPr>
          <w:szCs w:val="22"/>
        </w:rPr>
        <w:t>регламентарные</w:t>
      </w:r>
      <w:proofErr w:type="spellEnd"/>
      <w:r w:rsidRPr="00431A01">
        <w:rPr>
          <w:szCs w:val="22"/>
        </w:rPr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431A01">
        <w:rPr>
          <w:b/>
          <w:bCs/>
          <w:szCs w:val="22"/>
        </w:rPr>
        <w:t>151 (</w:t>
      </w:r>
      <w:proofErr w:type="spellStart"/>
      <w:r w:rsidRPr="00431A01">
        <w:rPr>
          <w:b/>
          <w:bCs/>
          <w:szCs w:val="22"/>
        </w:rPr>
        <w:t>ВКР</w:t>
      </w:r>
      <w:proofErr w:type="spellEnd"/>
      <w:r w:rsidRPr="00431A01">
        <w:rPr>
          <w:b/>
          <w:bCs/>
          <w:szCs w:val="22"/>
        </w:rPr>
        <w:t>-12)</w:t>
      </w:r>
      <w:r w:rsidRPr="00431A01">
        <w:rPr>
          <w:szCs w:val="22"/>
        </w:rPr>
        <w:t xml:space="preserve"> и </w:t>
      </w:r>
      <w:r w:rsidRPr="00431A01">
        <w:rPr>
          <w:b/>
          <w:bCs/>
          <w:szCs w:val="22"/>
        </w:rPr>
        <w:t>152 (</w:t>
      </w:r>
      <w:proofErr w:type="spellStart"/>
      <w:r w:rsidRPr="00431A01">
        <w:rPr>
          <w:b/>
          <w:bCs/>
          <w:szCs w:val="22"/>
        </w:rPr>
        <w:t>ВКР</w:t>
      </w:r>
      <w:proofErr w:type="spellEnd"/>
      <w:r w:rsidRPr="00431A01">
        <w:rPr>
          <w:b/>
          <w:bCs/>
          <w:szCs w:val="22"/>
        </w:rPr>
        <w:t>-12)</w:t>
      </w:r>
      <w:r w:rsidRPr="00431A01">
        <w:rPr>
          <w:szCs w:val="22"/>
        </w:rPr>
        <w:t>, соответственно;</w:t>
      </w:r>
    </w:p>
    <w:p w:rsidR="00431A01" w:rsidRPr="00431A01" w:rsidRDefault="00431A01" w:rsidP="00431A01">
      <w:pPr>
        <w:pStyle w:val="Headingb"/>
        <w:rPr>
          <w:lang w:val="ru-RU"/>
        </w:rPr>
      </w:pPr>
      <w:r w:rsidRPr="00431A01">
        <w:rPr>
          <w:lang w:val="ru-RU"/>
        </w:rPr>
        <w:t>Базовая информация</w:t>
      </w:r>
    </w:p>
    <w:p w:rsidR="00431A01" w:rsidRPr="00431A01" w:rsidRDefault="00431A01" w:rsidP="00431A01">
      <w:r w:rsidRPr="00431A01">
        <w:t>В полосах между 13 и 17 ГГц существуют распределения для различных служб с применениями всемирного масштаба, включая спутнико</w:t>
      </w:r>
      <w:bookmarkStart w:id="7" w:name="_GoBack"/>
      <w:bookmarkEnd w:id="7"/>
      <w:r w:rsidRPr="00431A01">
        <w:t xml:space="preserve">вую службу исследования Земли, службу космических исследований, воздушную радионавигационную службу, фиксированную, подвижную и воздушную подвижную службы, которые представляют существенные, во многих случаях глобальные обязательства со стороны администраций. При усилиях по упорядочению предыдущих соглашений </w:t>
      </w:r>
      <w:proofErr w:type="spellStart"/>
      <w:r w:rsidRPr="00431A01">
        <w:t>ВКР</w:t>
      </w:r>
      <w:proofErr w:type="spellEnd"/>
      <w:r w:rsidRPr="00431A01">
        <w:t>, которые нарушают баланс между линиями вверх и вниз фиксированной спутниковой службы (</w:t>
      </w:r>
      <w:proofErr w:type="spellStart"/>
      <w:r w:rsidRPr="00431A01">
        <w:t>ФСС</w:t>
      </w:r>
      <w:proofErr w:type="spellEnd"/>
      <w:r w:rsidRPr="00431A01">
        <w:t xml:space="preserve">) в полосе частот 13−17 ГГц, необходимо обеспечить защиту важнейших работающих традиционных служб. </w:t>
      </w:r>
      <w:proofErr w:type="spellStart"/>
      <w:r w:rsidRPr="00431A01">
        <w:t>СИТЕЛ</w:t>
      </w:r>
      <w:proofErr w:type="spellEnd"/>
      <w:r w:rsidRPr="00431A01">
        <w:t xml:space="preserve"> представила отдельные предложения о том, чтобы не вносить никаких изменений (</w:t>
      </w:r>
      <w:proofErr w:type="spellStart"/>
      <w:r w:rsidRPr="00431A01">
        <w:rPr>
          <w:u w:val="single"/>
        </w:rPr>
        <w:t>NOC</w:t>
      </w:r>
      <w:proofErr w:type="spellEnd"/>
      <w:r w:rsidRPr="00431A01">
        <w:t>), охватывающие полосы частот 13,25–13,4 ГГц, 13,4–13,75 ГГц, 15,4–17,0 ГГц. Настоящий документ содержит предложение о том, чтобы не вносить никаких изменений (</w:t>
      </w:r>
      <w:proofErr w:type="spellStart"/>
      <w:r w:rsidRPr="00431A01">
        <w:rPr>
          <w:u w:val="single"/>
        </w:rPr>
        <w:t>NOC</w:t>
      </w:r>
      <w:proofErr w:type="spellEnd"/>
      <w:r w:rsidRPr="00431A01">
        <w:t xml:space="preserve">), охватывающее полосу частот 14,5–15,35 ГГц. Страны, подписавшие настоящий документ, не поддерживают дополнительное распределение на первичной основе </w:t>
      </w:r>
      <w:proofErr w:type="spellStart"/>
      <w:r w:rsidRPr="00431A01">
        <w:t>ФСС</w:t>
      </w:r>
      <w:proofErr w:type="spellEnd"/>
      <w:r w:rsidRPr="00431A01">
        <w:rPr>
          <w:rFonts w:eastAsia="SimSun"/>
        </w:rPr>
        <w:t xml:space="preserve"> (Земля-космос)</w:t>
      </w:r>
      <w:r w:rsidRPr="00431A01">
        <w:t xml:space="preserve"> в полосе частот 14,5–15,35 ГГц </w:t>
      </w:r>
      <w:r w:rsidRPr="00431A01">
        <w:rPr>
          <w:color w:val="000000"/>
        </w:rPr>
        <w:t>как в Районе 2, так и в Районе 3 ввиду помех, создаваемых существующим глобальным службам</w:t>
      </w:r>
      <w:r w:rsidRPr="00431A01">
        <w:t>.</w:t>
      </w:r>
    </w:p>
    <w:p w:rsidR="00431A01" w:rsidRPr="00431A01" w:rsidRDefault="00431A01" w:rsidP="00431A01">
      <w:r w:rsidRPr="00431A01">
        <w:t xml:space="preserve">Полоса частот 14,5–15,35 ГГц распределена фиксированной и подвижной службам на первичной основе во всех трех Районах МСЭ. Полоса частот 14,5–14,8 ГГц также распределена </w:t>
      </w:r>
      <w:proofErr w:type="spellStart"/>
      <w:r w:rsidRPr="00431A01">
        <w:t>ФСС</w:t>
      </w:r>
      <w:proofErr w:type="spellEnd"/>
      <w:r w:rsidRPr="00431A01">
        <w:t xml:space="preserve"> на первичной основе во всех трех Районах МСЭ при условии соблюдения положений п. 5.510 Регламента радиосвязи. В п. 5.510 использование этой полосы </w:t>
      </w:r>
      <w:proofErr w:type="spellStart"/>
      <w:r w:rsidRPr="00431A01">
        <w:t>ФСС</w:t>
      </w:r>
      <w:proofErr w:type="spellEnd"/>
      <w:r w:rsidRPr="00431A01">
        <w:t xml:space="preserve"> ограничивается фидерными линиями радиовещательной спутниковой службы </w:t>
      </w:r>
      <w:r w:rsidRPr="00431A01">
        <w:rPr>
          <w:color w:val="000000"/>
        </w:rPr>
        <w:t xml:space="preserve">за пределами Европы, которые подпадают под действие Плана для радиовещательной спутниковой службы Приложения </w:t>
      </w:r>
      <w:proofErr w:type="spellStart"/>
      <w:r w:rsidRPr="00431A01">
        <w:rPr>
          <w:color w:val="000000"/>
        </w:rPr>
        <w:t>30A</w:t>
      </w:r>
      <w:proofErr w:type="spellEnd"/>
      <w:r w:rsidRPr="00431A01">
        <w:rPr>
          <w:color w:val="000000"/>
        </w:rPr>
        <w:t xml:space="preserve"> и связанных с ним процедур</w:t>
      </w:r>
      <w:r w:rsidRPr="00431A01">
        <w:t xml:space="preserve">. Служба космических исследований имеет распределение на вторичной основе в полосе частот 14,5−15,35 ГГц во всех трех Районах. </w:t>
      </w:r>
      <w:r w:rsidRPr="00431A01">
        <w:rPr>
          <w:color w:val="000000"/>
        </w:rPr>
        <w:t xml:space="preserve">В настоящее время линии передачи данных воздушной </w:t>
      </w:r>
      <w:r w:rsidRPr="00431A01">
        <w:rPr>
          <w:color w:val="000000"/>
        </w:rPr>
        <w:lastRenderedPageBreak/>
        <w:t>подвижной службы работают в полосе 14,5−15,35 ГГц согласно распределению подвижной службе (</w:t>
      </w:r>
      <w:proofErr w:type="spellStart"/>
      <w:r w:rsidRPr="00431A01">
        <w:rPr>
          <w:color w:val="000000"/>
        </w:rPr>
        <w:t>ПС</w:t>
      </w:r>
      <w:proofErr w:type="spellEnd"/>
      <w:r w:rsidRPr="00431A01">
        <w:rPr>
          <w:color w:val="000000"/>
        </w:rPr>
        <w:t>) – основной службы для воздушной подвижной службы (</w:t>
      </w:r>
      <w:proofErr w:type="spellStart"/>
      <w:r w:rsidRPr="00431A01">
        <w:rPr>
          <w:color w:val="000000"/>
        </w:rPr>
        <w:t>ВПС</w:t>
      </w:r>
      <w:proofErr w:type="spellEnd"/>
      <w:r w:rsidRPr="00431A01">
        <w:rPr>
          <w:color w:val="000000"/>
        </w:rPr>
        <w:t>).</w:t>
      </w:r>
    </w:p>
    <w:p w:rsidR="00431A01" w:rsidRPr="00431A01" w:rsidRDefault="00431A01" w:rsidP="00431A01">
      <w:r w:rsidRPr="00431A01">
        <w:t xml:space="preserve">Многие администрации внедрили фиксированные линии связи, поддерживающие национальную магистральную инфраструктуру электросвязи и другие существенные операции, такие как ретрансляция данных </w:t>
      </w:r>
      <w:proofErr w:type="spellStart"/>
      <w:r w:rsidRPr="00431A01">
        <w:t>РЛС</w:t>
      </w:r>
      <w:proofErr w:type="spellEnd"/>
      <w:r w:rsidRPr="00431A01">
        <w:t xml:space="preserve"> управления воздушным движением. Исследования МСЭ показали, что </w:t>
      </w:r>
      <w:r w:rsidRPr="00431A01">
        <w:rPr>
          <w:color w:val="000000"/>
        </w:rPr>
        <w:t xml:space="preserve">помехи со стороны </w:t>
      </w:r>
      <w:proofErr w:type="spellStart"/>
      <w:r w:rsidRPr="00431A01">
        <w:rPr>
          <w:color w:val="000000"/>
        </w:rPr>
        <w:t>ФСС</w:t>
      </w:r>
      <w:proofErr w:type="spellEnd"/>
      <w:r w:rsidRPr="00431A01">
        <w:rPr>
          <w:color w:val="000000"/>
        </w:rPr>
        <w:t xml:space="preserve"> (Земля-космос) в отношении </w:t>
      </w:r>
      <w:proofErr w:type="spellStart"/>
      <w:r w:rsidRPr="00431A01">
        <w:rPr>
          <w:color w:val="000000"/>
        </w:rPr>
        <w:t>ФС</w:t>
      </w:r>
      <w:proofErr w:type="spellEnd"/>
      <w:r w:rsidRPr="00431A01">
        <w:rPr>
          <w:color w:val="000000"/>
        </w:rPr>
        <w:t xml:space="preserve"> без тщательного выбора местоположения станций, без </w:t>
      </w:r>
      <w:proofErr w:type="spellStart"/>
      <w:r w:rsidRPr="00431A01">
        <w:rPr>
          <w:color w:val="000000"/>
        </w:rPr>
        <w:t>внеосевого</w:t>
      </w:r>
      <w:proofErr w:type="spellEnd"/>
      <w:r w:rsidRPr="00431A01">
        <w:rPr>
          <w:color w:val="000000"/>
        </w:rPr>
        <w:t xml:space="preserve"> усиления антенн обеих систем, без внедрения экранирования и недопущения перекрытия каналов могут превышать критерии защиты в сотни километров</w:t>
      </w:r>
      <w:r w:rsidRPr="00431A01">
        <w:t xml:space="preserve">. Спутниковая отрасль выразила пожелание относительно повсеместного использования </w:t>
      </w:r>
      <w:proofErr w:type="spellStart"/>
      <w:r w:rsidRPr="00431A01">
        <w:t>ФСС</w:t>
      </w:r>
      <w:proofErr w:type="spellEnd"/>
      <w:r w:rsidRPr="00431A01">
        <w:t xml:space="preserve">, например, посредством плотного развертывания операций </w:t>
      </w:r>
      <w:r w:rsidRPr="00431A01">
        <w:rPr>
          <w:color w:val="000000"/>
        </w:rPr>
        <w:t>терминалов с очень малой апертурой антенны</w:t>
      </w:r>
      <w:r w:rsidRPr="00431A01">
        <w:t xml:space="preserve"> (</w:t>
      </w:r>
      <w:proofErr w:type="spellStart"/>
      <w:r w:rsidRPr="00431A01">
        <w:t>VSAT</w:t>
      </w:r>
      <w:proofErr w:type="spellEnd"/>
      <w:r w:rsidRPr="00431A01">
        <w:t>). Внедрение спутниковой связи по линии вверх будет препятствовать работе фиксированной службы.</w:t>
      </w:r>
    </w:p>
    <w:p w:rsidR="00431A01" w:rsidRPr="00431A01" w:rsidRDefault="00431A01" w:rsidP="00431A01">
      <w:r w:rsidRPr="00431A01">
        <w:t xml:space="preserve">Многие администрации эксплуатируют многие важнейшие системы воздушной подвижной связи (линии вверх, линии вниз и воздух-воздух) круглосуточно семь дней в неделю по всему миру для поддержки скоординированных мер обеспечения безопасности, правопорядка и гуманитарной помощи по всей полосе частот 14,5−15,35 ГГц, и эти системы не должны испытывать перебоев. Помимо исследований, которые проводились МСЭ-R, был осуществлен также дополнительный анализ возможных подходов, направленных на содействие совместному использованию частот, </w:t>
      </w:r>
      <w:r w:rsidRPr="00431A01">
        <w:rPr>
          <w:color w:val="000000"/>
        </w:rPr>
        <w:t xml:space="preserve">например, посредством ограничения минимальных размеров антенн </w:t>
      </w:r>
      <w:proofErr w:type="spellStart"/>
      <w:r w:rsidRPr="00431A01">
        <w:rPr>
          <w:color w:val="000000"/>
        </w:rPr>
        <w:t>ФСС</w:t>
      </w:r>
      <w:proofErr w:type="spellEnd"/>
      <w:r w:rsidRPr="00431A01">
        <w:rPr>
          <w:color w:val="000000"/>
        </w:rPr>
        <w:t xml:space="preserve">, пределов </w:t>
      </w:r>
      <w:proofErr w:type="spellStart"/>
      <w:r w:rsidRPr="00431A01">
        <w:rPr>
          <w:color w:val="000000"/>
        </w:rPr>
        <w:t>п.п.м</w:t>
      </w:r>
      <w:proofErr w:type="spellEnd"/>
      <w:r w:rsidRPr="00431A01">
        <w:rPr>
          <w:color w:val="000000"/>
        </w:rPr>
        <w:t xml:space="preserve">. и/или иных методов смягчения воздействия помех, которые могут использоваться поставщиками услуг </w:t>
      </w:r>
      <w:proofErr w:type="spellStart"/>
      <w:r w:rsidRPr="00431A01">
        <w:rPr>
          <w:color w:val="000000"/>
        </w:rPr>
        <w:t>ФСС</w:t>
      </w:r>
      <w:proofErr w:type="spellEnd"/>
      <w:r w:rsidRPr="00431A01">
        <w:t xml:space="preserve">. Вместе с тем, в каждом случае результаты исследований показывали, что помехи работе воздушной подвижной службы будут все же иметь место даже на больших расстояниях и что реализация предлагаемых методов смягчения воздействия помех практически неосуществима. Антенны </w:t>
      </w:r>
      <w:proofErr w:type="spellStart"/>
      <w:r w:rsidRPr="00431A01">
        <w:t>бóльших</w:t>
      </w:r>
      <w:proofErr w:type="spellEnd"/>
      <w:r w:rsidRPr="00431A01">
        <w:t xml:space="preserve"> размеров, вероятно, уменьшат плотность развертывания </w:t>
      </w:r>
      <w:proofErr w:type="spellStart"/>
      <w:r w:rsidRPr="00431A01">
        <w:t>ФСС</w:t>
      </w:r>
      <w:proofErr w:type="spellEnd"/>
      <w:r w:rsidRPr="00431A01">
        <w:t xml:space="preserve"> и позволят сузить лучи, сквозь которые могут пролетать системы воздушной связи, но даже сигналы развернутых с низкой плотностью антенн </w:t>
      </w:r>
      <w:proofErr w:type="spellStart"/>
      <w:r w:rsidRPr="00431A01">
        <w:t>ФСС</w:t>
      </w:r>
      <w:proofErr w:type="spellEnd"/>
      <w:r w:rsidRPr="00431A01">
        <w:t xml:space="preserve"> с высоким усилением зачастую будут превышать пороговые значения приемников на борту воздушных судов при </w:t>
      </w:r>
      <w:proofErr w:type="spellStart"/>
      <w:r w:rsidRPr="00431A01">
        <w:t>бóльших</w:t>
      </w:r>
      <w:proofErr w:type="spellEnd"/>
      <w:r w:rsidRPr="00431A01">
        <w:t xml:space="preserve"> уровнях и расстояниях, чем применяемые для небольших антенн. Исследования совместного использования частот показывают, что для защиты приемников </w:t>
      </w:r>
      <w:proofErr w:type="spellStart"/>
      <w:r w:rsidRPr="00431A01">
        <w:t>ВПС</w:t>
      </w:r>
      <w:proofErr w:type="spellEnd"/>
      <w:r w:rsidRPr="00431A01">
        <w:t>, работающих в полосе 14,5−15,35 ГГц, требуется расстояние разноса порядка 400−575 км для воздушных судов на высоте 19 км и порядка 150−180 км для воздушных судов на высоте 2,4 км.</w:t>
      </w:r>
    </w:p>
    <w:p w:rsidR="00431A01" w:rsidRPr="00431A01" w:rsidRDefault="00431A01" w:rsidP="00431A01">
      <w:r w:rsidRPr="00431A01">
        <w:t xml:space="preserve">Важно иметь в виду, что полоса 14,5−14,8 ГГц распределена </w:t>
      </w:r>
      <w:proofErr w:type="spellStart"/>
      <w:r w:rsidRPr="00431A01">
        <w:t>ФСС</w:t>
      </w:r>
      <w:proofErr w:type="spellEnd"/>
      <w:r w:rsidRPr="00431A01">
        <w:t xml:space="preserve"> (Земля-космос), при ограничении фидерными линиями для радиовещательной спутниковой службы (</w:t>
      </w:r>
      <w:proofErr w:type="spellStart"/>
      <w:r w:rsidRPr="00431A01">
        <w:t>РСС</w:t>
      </w:r>
      <w:proofErr w:type="spellEnd"/>
      <w:r w:rsidRPr="00431A01">
        <w:t xml:space="preserve">) за пределами Европы. Такие плановые полосы рассчитаны на удовлетворение будущих потребностей развивающихся стран. Несмотря на то что в настоящее время в Международный справочный регистр частот занесены некоторые спутники, для этой полосы не были заявлены какие-либо типовые или конкретные земные станции. Ограничение фидерными линиями </w:t>
      </w:r>
      <w:proofErr w:type="spellStart"/>
      <w:r w:rsidRPr="00431A01">
        <w:t>ФСС</w:t>
      </w:r>
      <w:proofErr w:type="spellEnd"/>
      <w:r w:rsidRPr="00431A01">
        <w:t xml:space="preserve">, хотя и не обеспечивает защиту всех операций </w:t>
      </w:r>
      <w:proofErr w:type="spellStart"/>
      <w:r w:rsidRPr="00431A01">
        <w:t>ВПС</w:t>
      </w:r>
      <w:proofErr w:type="spellEnd"/>
      <w:r w:rsidRPr="00431A01">
        <w:t>, сводит к минимуму возможные противоречия.</w:t>
      </w:r>
    </w:p>
    <w:p w:rsidR="009B5CC2" w:rsidRPr="00431A0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31A01">
        <w:br w:type="page"/>
      </w:r>
    </w:p>
    <w:p w:rsidR="008E2497" w:rsidRPr="00431A01" w:rsidRDefault="00431A01" w:rsidP="00B25C66">
      <w:pPr>
        <w:pStyle w:val="ArtNo"/>
      </w:pPr>
      <w:bookmarkStart w:id="8" w:name="_Toc331607681"/>
      <w:r w:rsidRPr="00431A01">
        <w:lastRenderedPageBreak/>
        <w:t xml:space="preserve">СТАТЬЯ </w:t>
      </w:r>
      <w:r w:rsidRPr="00431A01">
        <w:rPr>
          <w:rStyle w:val="href"/>
        </w:rPr>
        <w:t>5</w:t>
      </w:r>
      <w:bookmarkEnd w:id="8"/>
    </w:p>
    <w:p w:rsidR="008E2497" w:rsidRPr="00431A01" w:rsidRDefault="00431A01" w:rsidP="008E2497">
      <w:pPr>
        <w:pStyle w:val="Arttitle"/>
      </w:pPr>
      <w:bookmarkStart w:id="9" w:name="_Toc331607682"/>
      <w:r w:rsidRPr="00431A01">
        <w:t>Распределение частот</w:t>
      </w:r>
      <w:bookmarkEnd w:id="9"/>
    </w:p>
    <w:p w:rsidR="008E2497" w:rsidRPr="00431A01" w:rsidRDefault="00431A01" w:rsidP="00E170AA">
      <w:pPr>
        <w:pStyle w:val="Section1"/>
      </w:pPr>
      <w:bookmarkStart w:id="10" w:name="_Toc331607687"/>
      <w:r w:rsidRPr="00431A01">
        <w:t xml:space="preserve">Раздел </w:t>
      </w:r>
      <w:proofErr w:type="spellStart"/>
      <w:proofErr w:type="gramStart"/>
      <w:r w:rsidRPr="00431A01">
        <w:t>IV</w:t>
      </w:r>
      <w:proofErr w:type="spellEnd"/>
      <w:r w:rsidRPr="00431A01">
        <w:t xml:space="preserve">  –</w:t>
      </w:r>
      <w:proofErr w:type="gramEnd"/>
      <w:r w:rsidRPr="00431A01">
        <w:t xml:space="preserve">  Таблица распределения частот</w:t>
      </w:r>
      <w:r w:rsidRPr="00431A01">
        <w:br/>
      </w:r>
      <w:r w:rsidRPr="00431A01">
        <w:rPr>
          <w:b w:val="0"/>
          <w:bCs/>
        </w:rPr>
        <w:t>(См. п.</w:t>
      </w:r>
      <w:r w:rsidRPr="00431A01">
        <w:t xml:space="preserve"> 2.1</w:t>
      </w:r>
      <w:r w:rsidRPr="00431A01">
        <w:rPr>
          <w:b w:val="0"/>
          <w:bCs/>
        </w:rPr>
        <w:t>)</w:t>
      </w:r>
      <w:bookmarkEnd w:id="10"/>
      <w:r w:rsidRPr="00431A01">
        <w:rPr>
          <w:b w:val="0"/>
          <w:bCs/>
        </w:rPr>
        <w:br/>
      </w:r>
      <w:r w:rsidRPr="00431A01">
        <w:br/>
      </w:r>
    </w:p>
    <w:p w:rsidR="00E74879" w:rsidRPr="00431A01" w:rsidRDefault="00431A01">
      <w:pPr>
        <w:pStyle w:val="Proposal"/>
      </w:pPr>
      <w:proofErr w:type="spellStart"/>
      <w:r w:rsidRPr="00431A01">
        <w:rPr>
          <w:u w:val="single"/>
        </w:rPr>
        <w:t>NOC</w:t>
      </w:r>
      <w:proofErr w:type="spellEnd"/>
      <w:r w:rsidRPr="00431A01">
        <w:tab/>
      </w:r>
      <w:proofErr w:type="spellStart"/>
      <w:r w:rsidRPr="00431A01">
        <w:t>BAH</w:t>
      </w:r>
      <w:proofErr w:type="spellEnd"/>
      <w:r w:rsidRPr="00431A01">
        <w:t>/</w:t>
      </w:r>
      <w:proofErr w:type="spellStart"/>
      <w:r w:rsidRPr="00431A01">
        <w:t>BLZ</w:t>
      </w:r>
      <w:proofErr w:type="spellEnd"/>
      <w:r w:rsidRPr="00431A01">
        <w:t>/</w:t>
      </w:r>
      <w:proofErr w:type="spellStart"/>
      <w:r w:rsidRPr="00431A01">
        <w:t>CAN</w:t>
      </w:r>
      <w:proofErr w:type="spellEnd"/>
      <w:r w:rsidRPr="00431A01">
        <w:t>/</w:t>
      </w:r>
      <w:proofErr w:type="spellStart"/>
      <w:r w:rsidRPr="00431A01">
        <w:t>CTR</w:t>
      </w:r>
      <w:proofErr w:type="spellEnd"/>
      <w:r w:rsidRPr="00431A01">
        <w:t>/</w:t>
      </w:r>
      <w:proofErr w:type="spellStart"/>
      <w:r w:rsidRPr="00431A01">
        <w:t>EQA</w:t>
      </w:r>
      <w:proofErr w:type="spellEnd"/>
      <w:r w:rsidRPr="00431A01">
        <w:t>/</w:t>
      </w:r>
      <w:proofErr w:type="spellStart"/>
      <w:r w:rsidRPr="00431A01">
        <w:t>USA</w:t>
      </w:r>
      <w:proofErr w:type="spellEnd"/>
      <w:r w:rsidRPr="00431A01">
        <w:t>/</w:t>
      </w:r>
      <w:proofErr w:type="spellStart"/>
      <w:r w:rsidRPr="00431A01">
        <w:t>JMC</w:t>
      </w:r>
      <w:proofErr w:type="spellEnd"/>
      <w:r w:rsidRPr="00431A01">
        <w:t>/</w:t>
      </w:r>
      <w:proofErr w:type="spellStart"/>
      <w:r w:rsidRPr="00431A01">
        <w:t>PRG</w:t>
      </w:r>
      <w:proofErr w:type="spellEnd"/>
      <w:r w:rsidRPr="00431A01">
        <w:t>/71/1</w:t>
      </w:r>
    </w:p>
    <w:p w:rsidR="008E2497" w:rsidRPr="00431A01" w:rsidRDefault="00431A01" w:rsidP="0045597D">
      <w:pPr>
        <w:pStyle w:val="Tabletitle"/>
        <w:keepNext w:val="0"/>
        <w:keepLines w:val="0"/>
      </w:pPr>
      <w:r w:rsidRPr="00431A01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431A01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31A01" w:rsidRDefault="00431A01" w:rsidP="00A97695">
            <w:pPr>
              <w:pStyle w:val="Tablehead"/>
              <w:rPr>
                <w:lang w:val="ru-RU"/>
              </w:rPr>
            </w:pPr>
            <w:r w:rsidRPr="00431A01">
              <w:rPr>
                <w:lang w:val="ru-RU"/>
              </w:rPr>
              <w:t>Распределение по службам</w:t>
            </w:r>
          </w:p>
        </w:tc>
      </w:tr>
      <w:tr w:rsidR="008E2497" w:rsidRPr="00431A01" w:rsidTr="00F610C5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31A01" w:rsidRDefault="00431A01" w:rsidP="00A97695">
            <w:pPr>
              <w:pStyle w:val="Tablehead"/>
              <w:rPr>
                <w:lang w:val="ru-RU"/>
              </w:rPr>
            </w:pPr>
            <w:r w:rsidRPr="00431A0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31A01" w:rsidRDefault="00431A01" w:rsidP="00A97695">
            <w:pPr>
              <w:pStyle w:val="Tablehead"/>
              <w:rPr>
                <w:lang w:val="ru-RU"/>
              </w:rPr>
            </w:pPr>
            <w:r w:rsidRPr="00431A0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431A01" w:rsidRDefault="00431A01" w:rsidP="00A97695">
            <w:pPr>
              <w:pStyle w:val="Tablehead"/>
              <w:rPr>
                <w:lang w:val="ru-RU"/>
              </w:rPr>
            </w:pPr>
            <w:r w:rsidRPr="00431A01">
              <w:rPr>
                <w:lang w:val="ru-RU"/>
              </w:rPr>
              <w:t>Район 3</w:t>
            </w:r>
          </w:p>
        </w:tc>
      </w:tr>
      <w:tr w:rsidR="008E2497" w:rsidRPr="00431A01" w:rsidTr="009A7BC7">
        <w:tc>
          <w:tcPr>
            <w:tcW w:w="1667" w:type="pct"/>
            <w:tcBorders>
              <w:right w:val="nil"/>
            </w:tcBorders>
          </w:tcPr>
          <w:p w:rsidR="008E2497" w:rsidRPr="00431A01" w:rsidRDefault="00431A01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431A01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31A01" w:rsidRDefault="00431A01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31A01">
              <w:rPr>
                <w:lang w:val="ru-RU"/>
              </w:rPr>
              <w:t>ФИКСИРОВАННАЯ</w:t>
            </w:r>
          </w:p>
          <w:p w:rsidR="008E2497" w:rsidRPr="00431A01" w:rsidRDefault="00431A01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431A01">
              <w:rPr>
                <w:lang w:val="ru-RU"/>
              </w:rPr>
              <w:t xml:space="preserve">ФИКСИРОВАННАЯ </w:t>
            </w:r>
            <w:proofErr w:type="gramStart"/>
            <w:r w:rsidRPr="00431A01">
              <w:rPr>
                <w:lang w:val="ru-RU"/>
              </w:rPr>
              <w:t>СПУТНИКОВАЯ  (</w:t>
            </w:r>
            <w:proofErr w:type="gramEnd"/>
            <w:r w:rsidRPr="00431A01">
              <w:rPr>
                <w:lang w:val="ru-RU"/>
              </w:rPr>
              <w:t xml:space="preserve">Земля-космос)  </w:t>
            </w:r>
            <w:r w:rsidRPr="00431A01">
              <w:rPr>
                <w:rStyle w:val="Artref"/>
                <w:lang w:val="ru-RU"/>
              </w:rPr>
              <w:t>5.510</w:t>
            </w:r>
          </w:p>
          <w:p w:rsidR="008E2497" w:rsidRPr="00431A01" w:rsidRDefault="00431A01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31A01">
              <w:rPr>
                <w:lang w:val="ru-RU"/>
              </w:rPr>
              <w:t>ПОДВИЖНАЯ</w:t>
            </w:r>
          </w:p>
          <w:p w:rsidR="008E2497" w:rsidRPr="00431A01" w:rsidRDefault="00431A01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31A01">
              <w:rPr>
                <w:lang w:val="ru-RU"/>
              </w:rPr>
              <w:t>Служба космических исследований</w:t>
            </w:r>
          </w:p>
        </w:tc>
      </w:tr>
      <w:tr w:rsidR="008E2497" w:rsidRPr="00431A01" w:rsidTr="009A7BC7">
        <w:tc>
          <w:tcPr>
            <w:tcW w:w="1667" w:type="pct"/>
            <w:tcBorders>
              <w:right w:val="nil"/>
            </w:tcBorders>
          </w:tcPr>
          <w:p w:rsidR="008E2497" w:rsidRPr="00431A01" w:rsidRDefault="00431A01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431A01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431A01" w:rsidRDefault="00431A01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31A01">
              <w:rPr>
                <w:lang w:val="ru-RU"/>
              </w:rPr>
              <w:t>ФИКСИРОВАННАЯ</w:t>
            </w:r>
          </w:p>
          <w:p w:rsidR="008E2497" w:rsidRPr="00431A01" w:rsidRDefault="00431A01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31A01">
              <w:rPr>
                <w:lang w:val="ru-RU"/>
              </w:rPr>
              <w:t>ПОДВИЖНАЯ</w:t>
            </w:r>
          </w:p>
          <w:p w:rsidR="008E2497" w:rsidRPr="00431A01" w:rsidRDefault="00431A01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31A01">
              <w:rPr>
                <w:lang w:val="ru-RU"/>
              </w:rPr>
              <w:t>Служба космических исследований</w:t>
            </w:r>
          </w:p>
          <w:p w:rsidR="008E2497" w:rsidRPr="00431A01" w:rsidRDefault="00431A01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431A01">
              <w:rPr>
                <w:rStyle w:val="Artref"/>
                <w:lang w:val="ru-RU"/>
              </w:rPr>
              <w:t>5.339</w:t>
            </w:r>
          </w:p>
        </w:tc>
      </w:tr>
    </w:tbl>
    <w:p w:rsidR="00431A01" w:rsidRPr="00431A01" w:rsidRDefault="00431A01" w:rsidP="00431A01">
      <w:pPr>
        <w:pStyle w:val="Reasons"/>
        <w:rPr>
          <w:color w:val="000000"/>
        </w:rPr>
      </w:pPr>
      <w:proofErr w:type="gramStart"/>
      <w:r w:rsidRPr="00431A01">
        <w:rPr>
          <w:b/>
        </w:rPr>
        <w:t>Основания</w:t>
      </w:r>
      <w:r w:rsidRPr="00431A01">
        <w:rPr>
          <w:bCs/>
        </w:rPr>
        <w:t>:</w:t>
      </w:r>
      <w:r w:rsidRPr="00431A01">
        <w:tab/>
      </w:r>
      <w:proofErr w:type="gramEnd"/>
      <w:r w:rsidRPr="00431A01">
        <w:t>Исследования МСЭ-R показывают наличие возможных помех существующим системам</w:t>
      </w:r>
      <w:r w:rsidRPr="00431A01">
        <w:rPr>
          <w:color w:val="000000"/>
        </w:rPr>
        <w:t xml:space="preserve"> </w:t>
      </w:r>
      <w:proofErr w:type="spellStart"/>
      <w:r w:rsidRPr="00431A01">
        <w:rPr>
          <w:color w:val="000000"/>
        </w:rPr>
        <w:t>ФС</w:t>
      </w:r>
      <w:proofErr w:type="spellEnd"/>
      <w:r w:rsidRPr="00431A01">
        <w:rPr>
          <w:color w:val="000000"/>
        </w:rPr>
        <w:t xml:space="preserve">, </w:t>
      </w:r>
      <w:proofErr w:type="spellStart"/>
      <w:r w:rsidRPr="00431A01">
        <w:rPr>
          <w:color w:val="000000"/>
        </w:rPr>
        <w:t>ПС</w:t>
      </w:r>
      <w:proofErr w:type="spellEnd"/>
      <w:r w:rsidRPr="00431A01">
        <w:rPr>
          <w:color w:val="000000"/>
        </w:rPr>
        <w:t xml:space="preserve"> и </w:t>
      </w:r>
      <w:proofErr w:type="spellStart"/>
      <w:r w:rsidRPr="00431A01">
        <w:rPr>
          <w:color w:val="000000"/>
        </w:rPr>
        <w:t>ВПС</w:t>
      </w:r>
      <w:proofErr w:type="spellEnd"/>
      <w:r w:rsidRPr="00431A01">
        <w:rPr>
          <w:color w:val="000000"/>
        </w:rPr>
        <w:t>.</w:t>
      </w:r>
    </w:p>
    <w:p w:rsidR="00E74879" w:rsidRPr="00431A01" w:rsidRDefault="00431A01" w:rsidP="00431A01">
      <w:pPr>
        <w:spacing w:before="720"/>
        <w:jc w:val="center"/>
      </w:pPr>
      <w:r w:rsidRPr="00431A01">
        <w:t>______________</w:t>
      </w:r>
    </w:p>
    <w:sectPr w:rsidR="00E74879" w:rsidRPr="00431A0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660D9" w:rsidRDefault="00567276">
    <w:pPr>
      <w:ind w:right="360"/>
      <w:rPr>
        <w:lang w:val="en-GB"/>
      </w:rPr>
    </w:pPr>
    <w:r>
      <w:fldChar w:fldCharType="begin"/>
    </w:r>
    <w:r w:rsidRPr="00E660D9">
      <w:rPr>
        <w:lang w:val="en-GB"/>
      </w:rPr>
      <w:instrText xml:space="preserve"> FILENAME \p  \* MERGEFORMAT </w:instrText>
    </w:r>
    <w:r>
      <w:fldChar w:fldCharType="separate"/>
    </w:r>
    <w:r w:rsidR="00E660D9" w:rsidRPr="00E660D9">
      <w:rPr>
        <w:noProof/>
        <w:lang w:val="en-GB"/>
      </w:rPr>
      <w:t>P:\RUS\ITU-R\CONF-R\CMR15\000\071REV2R.docx</w:t>
    </w:r>
    <w:r>
      <w:fldChar w:fldCharType="end"/>
    </w:r>
    <w:r w:rsidRPr="00E660D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60D9">
      <w:rPr>
        <w:noProof/>
      </w:rPr>
      <w:t>11.11.15</w:t>
    </w:r>
    <w:r>
      <w:fldChar w:fldCharType="end"/>
    </w:r>
    <w:r w:rsidRPr="00E660D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60D9">
      <w:rPr>
        <w:noProof/>
      </w:rPr>
      <w:t>11.11.15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431A01">
      <w:instrText xml:space="preserve"> FILENAME \p  \* MERGEFORMAT </w:instrText>
    </w:r>
    <w:r>
      <w:fldChar w:fldCharType="separate"/>
    </w:r>
    <w:r w:rsidR="00E660D9">
      <w:t>P:\RUS\ITU-R\CONF-R\CMR15\000\071REV2R.docx</w:t>
    </w:r>
    <w:r>
      <w:fldChar w:fldCharType="end"/>
    </w:r>
    <w:r w:rsidR="00431A01" w:rsidRPr="00431A01">
      <w:t xml:space="preserve"> (390044)</w:t>
    </w:r>
    <w:r w:rsidRPr="00431A01">
      <w:tab/>
    </w:r>
    <w:r>
      <w:fldChar w:fldCharType="begin"/>
    </w:r>
    <w:r>
      <w:instrText xml:space="preserve"> SAVEDATE \@ DD.MM.YY </w:instrText>
    </w:r>
    <w:r>
      <w:fldChar w:fldCharType="separate"/>
    </w:r>
    <w:r w:rsidR="00E660D9">
      <w:t>11.11.15</w:t>
    </w:r>
    <w:r>
      <w:fldChar w:fldCharType="end"/>
    </w:r>
    <w:r w:rsidRPr="00431A01">
      <w:tab/>
    </w:r>
    <w:r>
      <w:fldChar w:fldCharType="begin"/>
    </w:r>
    <w:r>
      <w:instrText xml:space="preserve"> PRINTDATE \@ DD.MM.YY </w:instrText>
    </w:r>
    <w:r>
      <w:fldChar w:fldCharType="separate"/>
    </w:r>
    <w:r w:rsidR="00E660D9">
      <w:t>11.11.15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1A01" w:rsidRDefault="00431A01" w:rsidP="00431A01">
    <w:pPr>
      <w:pStyle w:val="Footer"/>
    </w:pPr>
    <w:r>
      <w:fldChar w:fldCharType="begin"/>
    </w:r>
    <w:r w:rsidRPr="00431A01">
      <w:instrText xml:space="preserve"> FILENAME \p  \* MERGEFORMAT </w:instrText>
    </w:r>
    <w:r>
      <w:fldChar w:fldCharType="separate"/>
    </w:r>
    <w:r w:rsidR="00E660D9">
      <w:t>P:\RUS\ITU-R\CONF-R\CMR15\000\071REV2R.docx</w:t>
    </w:r>
    <w:r>
      <w:fldChar w:fldCharType="end"/>
    </w:r>
    <w:r w:rsidRPr="00431A01">
      <w:t xml:space="preserve"> (390044)</w:t>
    </w:r>
    <w:r w:rsidRPr="00431A01">
      <w:tab/>
    </w:r>
    <w:r>
      <w:fldChar w:fldCharType="begin"/>
    </w:r>
    <w:r>
      <w:instrText xml:space="preserve"> SAVEDATE \@ DD.MM.YY </w:instrText>
    </w:r>
    <w:r>
      <w:fldChar w:fldCharType="separate"/>
    </w:r>
    <w:r w:rsidR="00E660D9">
      <w:t>11.11.15</w:t>
    </w:r>
    <w:r>
      <w:fldChar w:fldCharType="end"/>
    </w:r>
    <w:r w:rsidRPr="00431A01">
      <w:tab/>
    </w:r>
    <w:r>
      <w:fldChar w:fldCharType="begin"/>
    </w:r>
    <w:r>
      <w:instrText xml:space="preserve"> PRINTDATE \@ DD.MM.YY </w:instrText>
    </w:r>
    <w:r>
      <w:fldChar w:fldCharType="separate"/>
    </w:r>
    <w:r w:rsidR="00E660D9">
      <w:t>11.11.15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60D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71(</w:t>
    </w:r>
    <w:proofErr w:type="spellStart"/>
    <w:r w:rsidR="00F761D2">
      <w:t>Rev.2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2962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1A01"/>
    <w:rsid w:val="00434A7C"/>
    <w:rsid w:val="0045143A"/>
    <w:rsid w:val="00466FC4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660D9"/>
    <w:rsid w:val="00E7487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1E46BDC-352A-4390-BFF9-38F6C133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R15-WRC15-C-0071!R2!MSW-R</DPM_x0020_File_x0020_name>
    <DPM_x0020_Author xmlns="32a1a8c5-2265-4ebc-b7a0-2071e2c5c9bb" xsi:nil="false">Documents Proposals Manager (DPM)</DPM_x0020_Author>
    <DPM_x0020_Version xmlns="32a1a8c5-2265-4ebc-b7a0-2071e2c5c9bb" xsi:nil="false">DPM_v5.2015.11.113_prod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25F554-1A6D-4B9E-A9BB-765329055EE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807</Words>
  <Characters>5543</Characters>
  <Application>Microsoft Office Word</Application>
  <DocSecurity>0</DocSecurity>
  <Lines>112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R15-WRC15-C-0071!R2!MSW-R</vt:lpstr>
    </vt:vector>
  </TitlesOfParts>
  <Manager>General Secretariat - Pool</Manager>
  <Company>International Telecommunication Union (ITU)</Company>
  <LinksUpToDate>false</LinksUpToDate>
  <CharactersWithSpaces>6308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R15-WRC15-C-0071!R2!MSW-R</dc:title>
  <dc:subject>World Radiocommunication Conference - 2015</dc:subject>
  <dc:creator>Documents Proposals Manager (DPM)</dc:creator>
  <cp:keywords>DPM_v5.2015.11.113_prod</cp:keywords>
  <dc:description/>
  <cp:lastModifiedBy>Antipina, Nadezda</cp:lastModifiedBy>
  <cp:revision>5</cp:revision>
  <cp:lastPrinted>2015-11-11T19:10:00Z</cp:lastPrinted>
  <dcterms:created xsi:type="dcterms:W3CDTF">2015-11-11T17:57:00Z</dcterms:created>
  <dcterms:modified xsi:type="dcterms:W3CDTF">2015-11-11T19:10:00Z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