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34288" w:rsidTr="0050008E">
        <w:trPr>
          <w:cantSplit/>
        </w:trPr>
        <w:tc>
          <w:tcPr>
            <w:tcW w:w="6911" w:type="dxa"/>
          </w:tcPr>
          <w:p w:rsidR="0090121B" w:rsidRPr="00034288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034288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034288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034288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034288" w:rsidRDefault="00CE7431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034288">
              <w:rPr>
                <w:noProof/>
                <w:lang w:val="en-US"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34288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034288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034288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034288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034288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034288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034288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034288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034288" w:rsidRDefault="00DD28B9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COMISIÓN 5</w:t>
            </w:r>
          </w:p>
        </w:tc>
        <w:tc>
          <w:tcPr>
            <w:tcW w:w="3120" w:type="dxa"/>
            <w:shd w:val="clear" w:color="auto" w:fill="auto"/>
          </w:tcPr>
          <w:p w:rsidR="0090121B" w:rsidRPr="00034288" w:rsidRDefault="00861CAA" w:rsidP="00DD28B9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 xml:space="preserve">Revisión </w:t>
            </w:r>
            <w:r w:rsidR="00DD28B9">
              <w:rPr>
                <w:rFonts w:ascii="Verdana" w:eastAsia="SimSun" w:hAnsi="Verdana" w:cs="Traditional Arabic"/>
                <w:b/>
                <w:sz w:val="20"/>
              </w:rPr>
              <w:t>2</w:t>
            </w:r>
            <w:r w:rsidR="003E60F7">
              <w:rPr>
                <w:rFonts w:ascii="Verdana" w:eastAsia="SimSun" w:hAnsi="Verdana" w:cs="Traditional Arabic"/>
                <w:b/>
                <w:sz w:val="20"/>
              </w:rPr>
              <w:t xml:space="preserve"> </w:t>
            </w:r>
            <w:r>
              <w:rPr>
                <w:rFonts w:ascii="Verdana" w:eastAsia="SimSun" w:hAnsi="Verdana" w:cs="Traditional Arabic"/>
                <w:b/>
                <w:sz w:val="20"/>
              </w:rPr>
              <w:t>al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</w:r>
            <w:r w:rsidR="00AE658F" w:rsidRPr="00034288">
              <w:rPr>
                <w:rFonts w:ascii="Verdana" w:eastAsia="SimSun" w:hAnsi="Verdana" w:cs="Traditional Arabic"/>
                <w:b/>
                <w:sz w:val="20"/>
              </w:rPr>
              <w:t>Documento 71</w:t>
            </w:r>
            <w:r w:rsidR="0090121B" w:rsidRPr="00034288">
              <w:rPr>
                <w:rFonts w:ascii="Verdana" w:hAnsi="Verdana"/>
                <w:b/>
                <w:sz w:val="20"/>
              </w:rPr>
              <w:t>-</w:t>
            </w:r>
            <w:r w:rsidR="00AE658F" w:rsidRPr="00034288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034288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034288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034288" w:rsidRDefault="00DD28B9" w:rsidP="007653F1">
            <w:pPr>
              <w:spacing w:before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12</w:t>
            </w:r>
            <w:r w:rsidR="000A5B9A" w:rsidRPr="00034288">
              <w:rPr>
                <w:rFonts w:ascii="Verdana" w:hAnsi="Verdana"/>
                <w:b/>
                <w:sz w:val="20"/>
              </w:rPr>
              <w:t xml:space="preserve"> de </w:t>
            </w:r>
            <w:r w:rsidR="007653F1">
              <w:rPr>
                <w:rFonts w:ascii="Verdana" w:hAnsi="Verdana"/>
                <w:b/>
                <w:sz w:val="20"/>
              </w:rPr>
              <w:t>noviembre</w:t>
            </w:r>
            <w:r w:rsidR="000A5B9A" w:rsidRPr="00034288">
              <w:rPr>
                <w:rFonts w:ascii="Verdana" w:hAnsi="Verdana"/>
                <w:b/>
                <w:sz w:val="20"/>
              </w:rPr>
              <w:t xml:space="preserve"> de 2015</w:t>
            </w:r>
          </w:p>
        </w:tc>
      </w:tr>
      <w:tr w:rsidR="000A5B9A" w:rsidRPr="00034288" w:rsidTr="0090121B">
        <w:trPr>
          <w:cantSplit/>
        </w:trPr>
        <w:tc>
          <w:tcPr>
            <w:tcW w:w="6911" w:type="dxa"/>
          </w:tcPr>
          <w:p w:rsidR="000A5B9A" w:rsidRPr="00034288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034288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034288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034288" w:rsidTr="006744FC">
        <w:trPr>
          <w:cantSplit/>
        </w:trPr>
        <w:tc>
          <w:tcPr>
            <w:tcW w:w="10031" w:type="dxa"/>
            <w:gridSpan w:val="2"/>
          </w:tcPr>
          <w:p w:rsidR="000A5B9A" w:rsidRPr="00034288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034288" w:rsidTr="0050008E">
        <w:trPr>
          <w:cantSplit/>
        </w:trPr>
        <w:tc>
          <w:tcPr>
            <w:tcW w:w="10031" w:type="dxa"/>
            <w:gridSpan w:val="2"/>
          </w:tcPr>
          <w:p w:rsidR="000A5B9A" w:rsidRPr="00034288" w:rsidRDefault="00861CAA" w:rsidP="00861CAA">
            <w:pPr>
              <w:pStyle w:val="Source"/>
            </w:pPr>
            <w:bookmarkStart w:id="2" w:name="dsource" w:colFirst="0" w:colLast="0"/>
            <w:r>
              <w:t>Bahamas (Commonwealth de las)</w:t>
            </w:r>
            <w:r w:rsidR="00DD28B9">
              <w:t>/Belice</w:t>
            </w:r>
            <w:r>
              <w:t>/</w:t>
            </w:r>
            <w:r w:rsidR="000A5B9A" w:rsidRPr="00034288">
              <w:t>Canadá/Costa Rica/Ecuador/</w:t>
            </w:r>
            <w:r>
              <w:br/>
            </w:r>
            <w:r w:rsidR="000A5B9A" w:rsidRPr="00034288">
              <w:t>Estados Unidos de América/Jamaica/Paraguay</w:t>
            </w:r>
            <w:r w:rsidR="001C35C7" w:rsidRPr="00034288">
              <w:t xml:space="preserve"> </w:t>
            </w:r>
            <w:r w:rsidR="000A5B9A" w:rsidRPr="00034288">
              <w:t>(República del)</w:t>
            </w:r>
          </w:p>
        </w:tc>
      </w:tr>
      <w:tr w:rsidR="000A5B9A" w:rsidRPr="00034288" w:rsidTr="0050008E">
        <w:trPr>
          <w:cantSplit/>
        </w:trPr>
        <w:tc>
          <w:tcPr>
            <w:tcW w:w="10031" w:type="dxa"/>
            <w:gridSpan w:val="2"/>
          </w:tcPr>
          <w:p w:rsidR="000A5B9A" w:rsidRPr="00034288" w:rsidRDefault="00182535" w:rsidP="000A5B9A">
            <w:pPr>
              <w:pStyle w:val="Title1"/>
            </w:pPr>
            <w:bookmarkStart w:id="3" w:name="dtitle1" w:colFirst="0" w:colLast="0"/>
            <w:bookmarkEnd w:id="2"/>
            <w:r w:rsidRPr="00034288">
              <w:t>propuestas para los trabajos de la conferencia</w:t>
            </w:r>
          </w:p>
        </w:tc>
      </w:tr>
      <w:tr w:rsidR="000A5B9A" w:rsidRPr="00034288" w:rsidTr="0050008E">
        <w:trPr>
          <w:cantSplit/>
        </w:trPr>
        <w:tc>
          <w:tcPr>
            <w:tcW w:w="10031" w:type="dxa"/>
            <w:gridSpan w:val="2"/>
          </w:tcPr>
          <w:p w:rsidR="000A5B9A" w:rsidRPr="00034288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034288" w:rsidTr="0050008E">
        <w:trPr>
          <w:cantSplit/>
        </w:trPr>
        <w:tc>
          <w:tcPr>
            <w:tcW w:w="10031" w:type="dxa"/>
            <w:gridSpan w:val="2"/>
          </w:tcPr>
          <w:p w:rsidR="000A5B9A" w:rsidRPr="00034288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034288">
              <w:t>Punto 1.6.2 del orden del día</w:t>
            </w:r>
          </w:p>
        </w:tc>
      </w:tr>
    </w:tbl>
    <w:bookmarkEnd w:id="5"/>
    <w:p w:rsidR="001C0E40" w:rsidRPr="00034288" w:rsidRDefault="004873BB" w:rsidP="001C35C7">
      <w:r w:rsidRPr="00034288">
        <w:t>1.6</w:t>
      </w:r>
      <w:r w:rsidRPr="00034288">
        <w:tab/>
        <w:t>considerar posibles atribuciones adicionales a título primario:</w:t>
      </w:r>
    </w:p>
    <w:p w:rsidR="001C0E40" w:rsidRPr="00034288" w:rsidRDefault="004873BB" w:rsidP="001C35C7">
      <w:r w:rsidRPr="00034288">
        <w:t>1.6.2</w:t>
      </w:r>
      <w:r w:rsidRPr="00034288">
        <w:tab/>
        <w:t>al servicio fijo por satélite (Tierra-espacio) de 250 MHz en la Región 2 y 300 MHz en la Región 3 en la gama 13-17 GHz;</w:t>
      </w:r>
    </w:p>
    <w:p w:rsidR="006D7258" w:rsidRPr="00034288" w:rsidRDefault="004873BB" w:rsidP="001C35C7">
      <w:r w:rsidRPr="00034288">
        <w:t xml:space="preserve">y revisar las disposiciones reglamentarias relativas a las atribuciones actuales al servicio fijo por satélite en cada gama, teniendo en cuenta los resultados de los estudios del UIT-R, conforme a las Resoluciones </w:t>
      </w:r>
      <w:r w:rsidRPr="00034288">
        <w:rPr>
          <w:b/>
        </w:rPr>
        <w:t>151 (CMR-12)</w:t>
      </w:r>
      <w:r w:rsidRPr="00034288">
        <w:t xml:space="preserve"> y </w:t>
      </w:r>
      <w:r w:rsidRPr="00034288">
        <w:rPr>
          <w:b/>
        </w:rPr>
        <w:t>152 (CMR-12)</w:t>
      </w:r>
      <w:r w:rsidR="00662323" w:rsidRPr="00034288">
        <w:t xml:space="preserve"> r</w:t>
      </w:r>
      <w:r w:rsidRPr="00034288">
        <w:t>espectivamente;</w:t>
      </w:r>
    </w:p>
    <w:p w:rsidR="009F28D0" w:rsidRPr="00034288" w:rsidRDefault="009F28D0" w:rsidP="009F28D0">
      <w:pPr>
        <w:pStyle w:val="Headingb"/>
      </w:pPr>
      <w:r w:rsidRPr="00034288">
        <w:t>Antecedentes</w:t>
      </w:r>
    </w:p>
    <w:p w:rsidR="00363A65" w:rsidRPr="00034288" w:rsidRDefault="009F28D0" w:rsidP="001C35C7">
      <w:pPr>
        <w:rPr>
          <w:color w:val="000000"/>
        </w:rPr>
      </w:pPr>
      <w:r w:rsidRPr="00034288">
        <w:t xml:space="preserve">Las bandas </w:t>
      </w:r>
      <w:r w:rsidR="007E0306" w:rsidRPr="00034288">
        <w:t xml:space="preserve">comprendidas </w:t>
      </w:r>
      <w:r w:rsidRPr="00034288">
        <w:t>entre 13</w:t>
      </w:r>
      <w:r w:rsidR="007E0306" w:rsidRPr="00034288">
        <w:t xml:space="preserve"> y </w:t>
      </w:r>
      <w:r w:rsidRPr="00034288">
        <w:t xml:space="preserve">17 GHz </w:t>
      </w:r>
      <w:r w:rsidR="00455249" w:rsidRPr="00034288">
        <w:t>han sido a</w:t>
      </w:r>
      <w:r w:rsidR="00542055" w:rsidRPr="00034288">
        <w:t>tribuida</w:t>
      </w:r>
      <w:r w:rsidR="00455249" w:rsidRPr="00034288">
        <w:t>s</w:t>
      </w:r>
      <w:r w:rsidRPr="00034288">
        <w:t xml:space="preserve"> a </w:t>
      </w:r>
      <w:r w:rsidR="00455249" w:rsidRPr="00034288">
        <w:t>un amplio abanico de s</w:t>
      </w:r>
      <w:r w:rsidRPr="00034288">
        <w:t xml:space="preserve">ervicios con aplicaciones </w:t>
      </w:r>
      <w:r w:rsidR="00455249" w:rsidRPr="00034288">
        <w:t>mundia</w:t>
      </w:r>
      <w:r w:rsidRPr="00034288">
        <w:t xml:space="preserve">les, incluida la exploración de la Tierra por satélite, la investigación espacial, la radionavegación aeronáutica y los servicios móviles y móviles aeronáuticos, los cuales representan compromisos significativos y en muchos casos mundiales de las </w:t>
      </w:r>
      <w:r w:rsidR="00034288" w:rsidRPr="00034288">
        <w:t>administraciones</w:t>
      </w:r>
      <w:r w:rsidRPr="00034288">
        <w:t>. L</w:t>
      </w:r>
      <w:r w:rsidR="00455249" w:rsidRPr="00034288">
        <w:t>as iniciativas encaminadas a r</w:t>
      </w:r>
      <w:r w:rsidRPr="00034288">
        <w:t xml:space="preserve">ectificar acuerdos </w:t>
      </w:r>
      <w:r w:rsidR="00455249" w:rsidRPr="00034288">
        <w:t xml:space="preserve">de </w:t>
      </w:r>
      <w:r w:rsidRPr="00034288">
        <w:t>anteriores</w:t>
      </w:r>
      <w:r w:rsidR="00455249" w:rsidRPr="00034288">
        <w:t xml:space="preserve"> C</w:t>
      </w:r>
      <w:r w:rsidR="00C433C0" w:rsidRPr="00034288">
        <w:t xml:space="preserve">onferencias </w:t>
      </w:r>
      <w:r w:rsidR="00455249" w:rsidRPr="00034288">
        <w:t>M</w:t>
      </w:r>
      <w:r w:rsidR="00C433C0" w:rsidRPr="00034288">
        <w:t xml:space="preserve">undiales de </w:t>
      </w:r>
      <w:r w:rsidR="00455249" w:rsidRPr="00034288">
        <w:t>R</w:t>
      </w:r>
      <w:r w:rsidR="00C433C0" w:rsidRPr="00034288">
        <w:t>adiocomunicaciones</w:t>
      </w:r>
      <w:r w:rsidR="00455249" w:rsidRPr="00034288">
        <w:t>, que ha</w:t>
      </w:r>
      <w:r w:rsidRPr="00034288">
        <w:t>n generado desequilibrios entre los enlaces ascendentes y descendentes del servicio fijo por satélite (SFS) en la gama de frecuencias 13-17 GHz</w:t>
      </w:r>
      <w:r w:rsidR="00455249" w:rsidRPr="00034288">
        <w:t>, han de velar por</w:t>
      </w:r>
      <w:r w:rsidRPr="00034288">
        <w:t xml:space="preserve"> la protección de las operaciones </w:t>
      </w:r>
      <w:r w:rsidR="00455249" w:rsidRPr="00034288">
        <w:t>esenciale</w:t>
      </w:r>
      <w:r w:rsidRPr="00034288">
        <w:t xml:space="preserve">s. CITEL </w:t>
      </w:r>
      <w:r w:rsidR="004C7ADA" w:rsidRPr="00034288">
        <w:t xml:space="preserve">presentó una serie de propuestas </w:t>
      </w:r>
      <w:r w:rsidR="00455249" w:rsidRPr="00034288">
        <w:t>con el objetivo de</w:t>
      </w:r>
      <w:r w:rsidR="00691A03" w:rsidRPr="00034288">
        <w:t xml:space="preserve"> no introducir cambios (propuestas </w:t>
      </w:r>
      <w:r w:rsidR="00691A03" w:rsidRPr="00034288">
        <w:rPr>
          <w:u w:val="single"/>
        </w:rPr>
        <w:t>NOC</w:t>
      </w:r>
      <w:r w:rsidR="00691A03" w:rsidRPr="00034288">
        <w:t xml:space="preserve">) en las bandas </w:t>
      </w:r>
      <w:r w:rsidRPr="00034288">
        <w:t>13</w:t>
      </w:r>
      <w:r w:rsidR="00691A03" w:rsidRPr="00034288">
        <w:t>,</w:t>
      </w:r>
      <w:r w:rsidRPr="00034288">
        <w:t>25-13</w:t>
      </w:r>
      <w:r w:rsidR="00691A03" w:rsidRPr="00034288">
        <w:t>,</w:t>
      </w:r>
      <w:r w:rsidRPr="00034288">
        <w:t>4 GHz, 13</w:t>
      </w:r>
      <w:r w:rsidR="00691A03" w:rsidRPr="00034288">
        <w:t>,</w:t>
      </w:r>
      <w:r w:rsidRPr="00034288">
        <w:t>4</w:t>
      </w:r>
      <w:r w:rsidR="001C35C7" w:rsidRPr="00034288">
        <w:noBreakHyphen/>
      </w:r>
      <w:r w:rsidRPr="00034288">
        <w:t>13</w:t>
      </w:r>
      <w:r w:rsidR="00691A03" w:rsidRPr="00034288">
        <w:t>,</w:t>
      </w:r>
      <w:r w:rsidRPr="00034288">
        <w:t>75</w:t>
      </w:r>
      <w:r w:rsidR="001C35C7" w:rsidRPr="00034288">
        <w:t> </w:t>
      </w:r>
      <w:r w:rsidRPr="00034288">
        <w:t>GHz, 15</w:t>
      </w:r>
      <w:r w:rsidR="00691A03" w:rsidRPr="00034288">
        <w:t>,</w:t>
      </w:r>
      <w:r w:rsidRPr="00034288">
        <w:t>4-17</w:t>
      </w:r>
      <w:r w:rsidR="00691A03" w:rsidRPr="00034288">
        <w:t>,</w:t>
      </w:r>
      <w:r w:rsidRPr="00034288">
        <w:t>0 GHz.</w:t>
      </w:r>
      <w:r w:rsidR="00662323" w:rsidRPr="00034288">
        <w:t xml:space="preserve"> </w:t>
      </w:r>
      <w:r w:rsidR="00691A03" w:rsidRPr="00034288">
        <w:t xml:space="preserve">En el presente documento, se propone mantener el texto relativo a la banda de frecuencias </w:t>
      </w:r>
      <w:r w:rsidRPr="00034288">
        <w:t>14</w:t>
      </w:r>
      <w:r w:rsidR="00542055" w:rsidRPr="00034288">
        <w:t>,5-15,</w:t>
      </w:r>
      <w:r w:rsidRPr="00034288">
        <w:t>35 GHz</w:t>
      </w:r>
      <w:r w:rsidR="00691A03" w:rsidRPr="00034288">
        <w:t xml:space="preserve"> sin cambios</w:t>
      </w:r>
      <w:r w:rsidRPr="00034288">
        <w:t xml:space="preserve">. </w:t>
      </w:r>
      <w:r w:rsidR="00691A03" w:rsidRPr="00034288">
        <w:t>Los países signatarios de esta propuesta no apoyan una atribución</w:t>
      </w:r>
      <w:r w:rsidR="00542055" w:rsidRPr="00034288">
        <w:t xml:space="preserve"> adicional</w:t>
      </w:r>
      <w:r w:rsidR="00691A03" w:rsidRPr="00034288">
        <w:t xml:space="preserve"> a título primario al SFS (Tierra-espacio) en la</w:t>
      </w:r>
      <w:r w:rsidR="00542055" w:rsidRPr="00034288">
        <w:t xml:space="preserve"> gama</w:t>
      </w:r>
      <w:r w:rsidR="00691A03" w:rsidRPr="00034288">
        <w:t xml:space="preserve"> de frecuencias 14,5-15,35 GHz</w:t>
      </w:r>
      <w:r w:rsidR="00C433C0" w:rsidRPr="00034288">
        <w:t>,</w:t>
      </w:r>
      <w:r w:rsidR="00691A03" w:rsidRPr="00034288">
        <w:t xml:space="preserve"> ni en la Región 2 ni en la Región 3, deb</w:t>
      </w:r>
      <w:bookmarkStart w:id="6" w:name="_GoBack"/>
      <w:bookmarkEnd w:id="6"/>
      <w:r w:rsidR="00691A03" w:rsidRPr="00034288">
        <w:t>ido a la interferencia que causaría a los servicios mundiales existentes.</w:t>
      </w:r>
    </w:p>
    <w:p w:rsidR="009F28D0" w:rsidRPr="00034288" w:rsidRDefault="00542055" w:rsidP="00C958F9">
      <w:r w:rsidRPr="00034288">
        <w:t>La gama de frecuencias</w:t>
      </w:r>
      <w:r w:rsidR="009F28D0" w:rsidRPr="00034288">
        <w:t xml:space="preserve"> 14,5-15,35 GHz </w:t>
      </w:r>
      <w:r w:rsidRPr="00034288">
        <w:t xml:space="preserve">ha sido asignada </w:t>
      </w:r>
      <w:r w:rsidR="005313EA" w:rsidRPr="00034288">
        <w:t>a los servicios fijo y móvil</w:t>
      </w:r>
      <w:r w:rsidR="009F28D0" w:rsidRPr="00034288">
        <w:t xml:space="preserve"> a título primario en las tres </w:t>
      </w:r>
      <w:r w:rsidR="00C958F9">
        <w:t>R</w:t>
      </w:r>
      <w:r w:rsidR="009F28D0" w:rsidRPr="00034288">
        <w:t xml:space="preserve">egiones de la </w:t>
      </w:r>
      <w:r w:rsidRPr="00034288">
        <w:t xml:space="preserve">UIT. La banda de frecuencias </w:t>
      </w:r>
      <w:r w:rsidR="009F28D0" w:rsidRPr="00034288">
        <w:t>14,5-14,8 GHz también</w:t>
      </w:r>
      <w:r w:rsidRPr="00034288">
        <w:t xml:space="preserve"> ha sido atribuida </w:t>
      </w:r>
      <w:r w:rsidR="009F28D0" w:rsidRPr="00034288">
        <w:t xml:space="preserve">al SFS (Tierra-espacio) a título primario en las tres </w:t>
      </w:r>
      <w:r w:rsidR="00C958F9">
        <w:t>R</w:t>
      </w:r>
      <w:r w:rsidR="009F28D0" w:rsidRPr="00034288">
        <w:t>egiones de la UIT</w:t>
      </w:r>
      <w:r w:rsidR="00F17ABE" w:rsidRPr="00034288">
        <w:t>, de conformidad con lo dispuesto en el número 5.510 del</w:t>
      </w:r>
      <w:r w:rsidR="009F28D0" w:rsidRPr="00034288">
        <w:t xml:space="preserve"> Reglamento de Radiocomunicaciones</w:t>
      </w:r>
      <w:r w:rsidR="00F17ABE" w:rsidRPr="00034288">
        <w:t xml:space="preserve">. En dicho apartado, la utilización de la banda por el SFS </w:t>
      </w:r>
      <w:r w:rsidR="005313EA" w:rsidRPr="00034288">
        <w:t xml:space="preserve">se reserva a los países exteriores a Europa y </w:t>
      </w:r>
      <w:r w:rsidR="00F17ABE" w:rsidRPr="00034288">
        <w:t>se</w:t>
      </w:r>
      <w:r w:rsidR="009F28D0" w:rsidRPr="00034288">
        <w:t xml:space="preserve"> limita </w:t>
      </w:r>
      <w:r w:rsidR="00F17ABE" w:rsidRPr="00034288">
        <w:t xml:space="preserve">a los </w:t>
      </w:r>
      <w:r w:rsidR="00F17ABE" w:rsidRPr="00034288">
        <w:lastRenderedPageBreak/>
        <w:t>enlaces de conexión para el servicio de radiodifusión por satélite</w:t>
      </w:r>
      <w:r w:rsidR="009F28D0" w:rsidRPr="00034288">
        <w:t xml:space="preserve">, </w:t>
      </w:r>
      <w:r w:rsidR="005313EA" w:rsidRPr="00034288">
        <w:t xml:space="preserve">lo cuales están </w:t>
      </w:r>
      <w:r w:rsidR="009F28D0" w:rsidRPr="00034288">
        <w:t xml:space="preserve">sujetos al Plan de </w:t>
      </w:r>
      <w:r w:rsidR="00355ADD" w:rsidRPr="00034288">
        <w:t>radiodifusión por satélite</w:t>
      </w:r>
      <w:r w:rsidR="009F28D0" w:rsidRPr="00034288">
        <w:t xml:space="preserve"> del Apéndice 30A y los procedimientos asociados. </w:t>
      </w:r>
      <w:r w:rsidRPr="00034288">
        <w:t>La banda de frecuencias 14,5-15,35 GHz ha sido atribuida a título secundario a</w:t>
      </w:r>
      <w:r w:rsidR="009F28D0" w:rsidRPr="00034288">
        <w:t xml:space="preserve">l servicio de investigación espacial en las tres regiones. Actualmente, los </w:t>
      </w:r>
      <w:r w:rsidR="005313EA" w:rsidRPr="00034288">
        <w:t>enlaces de datos del servicio móvil aeronáutico</w:t>
      </w:r>
      <w:r w:rsidR="009F28D0" w:rsidRPr="00034288">
        <w:t xml:space="preserve"> </w:t>
      </w:r>
      <w:r w:rsidR="005313EA" w:rsidRPr="00034288">
        <w:t>funcionan en la banda de frecuencias</w:t>
      </w:r>
      <w:r w:rsidR="00310D19" w:rsidRPr="00034288">
        <w:t xml:space="preserve"> </w:t>
      </w:r>
      <w:r w:rsidR="009F28D0" w:rsidRPr="00034288">
        <w:t>14,5-15,35 GHz</w:t>
      </w:r>
      <w:r w:rsidR="005313EA" w:rsidRPr="00034288">
        <w:t xml:space="preserve"> al amparo de una atribución al </w:t>
      </w:r>
      <w:r w:rsidRPr="00034288">
        <w:t>servicio móvil,</w:t>
      </w:r>
      <w:r w:rsidR="005313EA" w:rsidRPr="00034288">
        <w:t xml:space="preserve"> o sea, el servicio raíz del servicio móvil aeronáutico (SMA</w:t>
      </w:r>
      <w:r w:rsidR="009F28D0" w:rsidRPr="00034288">
        <w:t>).</w:t>
      </w:r>
    </w:p>
    <w:p w:rsidR="00373BC9" w:rsidRPr="00034288" w:rsidRDefault="005313EA" w:rsidP="001C35C7">
      <w:r w:rsidRPr="00034288">
        <w:rPr>
          <w:rStyle w:val="hps"/>
        </w:rPr>
        <w:t>Numerosas administraciones</w:t>
      </w:r>
      <w:r w:rsidRPr="00034288">
        <w:t xml:space="preserve"> </w:t>
      </w:r>
      <w:r w:rsidRPr="00034288">
        <w:rPr>
          <w:rStyle w:val="hps"/>
        </w:rPr>
        <w:t>han implantado</w:t>
      </w:r>
      <w:r w:rsidRPr="00034288">
        <w:t xml:space="preserve"> </w:t>
      </w:r>
      <w:r w:rsidRPr="00034288">
        <w:rPr>
          <w:rStyle w:val="hps"/>
        </w:rPr>
        <w:t>enlaces fijos</w:t>
      </w:r>
      <w:r w:rsidRPr="00034288">
        <w:t xml:space="preserve"> </w:t>
      </w:r>
      <w:r w:rsidRPr="00034288">
        <w:rPr>
          <w:rStyle w:val="hps"/>
        </w:rPr>
        <w:t>de apoyo a</w:t>
      </w:r>
      <w:r w:rsidRPr="00034288">
        <w:t xml:space="preserve"> </w:t>
      </w:r>
      <w:r w:rsidRPr="00034288">
        <w:rPr>
          <w:rStyle w:val="hps"/>
        </w:rPr>
        <w:t>la infraestructura</w:t>
      </w:r>
      <w:r w:rsidRPr="00034288">
        <w:t xml:space="preserve"> </w:t>
      </w:r>
      <w:r w:rsidR="00373BC9" w:rsidRPr="00034288">
        <w:rPr>
          <w:rStyle w:val="hps"/>
        </w:rPr>
        <w:t>básica</w:t>
      </w:r>
      <w:r w:rsidRPr="00034288">
        <w:t xml:space="preserve"> </w:t>
      </w:r>
      <w:r w:rsidRPr="00034288">
        <w:rPr>
          <w:rStyle w:val="hps"/>
        </w:rPr>
        <w:t>de telecomunicaciones</w:t>
      </w:r>
      <w:r w:rsidR="00373BC9" w:rsidRPr="00034288">
        <w:rPr>
          <w:rStyle w:val="hps"/>
        </w:rPr>
        <w:t xml:space="preserve"> del país</w:t>
      </w:r>
      <w:r w:rsidRPr="00034288">
        <w:t xml:space="preserve"> </w:t>
      </w:r>
      <w:r w:rsidRPr="00034288">
        <w:rPr>
          <w:rStyle w:val="hps"/>
        </w:rPr>
        <w:t xml:space="preserve">y </w:t>
      </w:r>
      <w:r w:rsidR="009F449D" w:rsidRPr="00034288">
        <w:rPr>
          <w:rStyle w:val="hps"/>
        </w:rPr>
        <w:t xml:space="preserve">a </w:t>
      </w:r>
      <w:r w:rsidRPr="00034288">
        <w:rPr>
          <w:rStyle w:val="hps"/>
        </w:rPr>
        <w:t>otras operaciones</w:t>
      </w:r>
      <w:r w:rsidRPr="00034288">
        <w:t xml:space="preserve"> </w:t>
      </w:r>
      <w:r w:rsidRPr="00034288">
        <w:rPr>
          <w:rStyle w:val="hps"/>
        </w:rPr>
        <w:t xml:space="preserve">esenciales, </w:t>
      </w:r>
      <w:r w:rsidR="009F449D" w:rsidRPr="00034288">
        <w:rPr>
          <w:rStyle w:val="hps"/>
        </w:rPr>
        <w:t xml:space="preserve">tales </w:t>
      </w:r>
      <w:r w:rsidRPr="00034288">
        <w:rPr>
          <w:rStyle w:val="hps"/>
        </w:rPr>
        <w:t>como</w:t>
      </w:r>
      <w:r w:rsidRPr="00034288">
        <w:t xml:space="preserve"> </w:t>
      </w:r>
      <w:r w:rsidR="00373BC9" w:rsidRPr="00034288">
        <w:rPr>
          <w:rStyle w:val="hps"/>
        </w:rPr>
        <w:t>la retransmisión</w:t>
      </w:r>
      <w:r w:rsidRPr="00034288">
        <w:t xml:space="preserve"> </w:t>
      </w:r>
      <w:r w:rsidRPr="00034288">
        <w:rPr>
          <w:rStyle w:val="hps"/>
        </w:rPr>
        <w:t>de</w:t>
      </w:r>
      <w:r w:rsidRPr="00034288">
        <w:t xml:space="preserve"> </w:t>
      </w:r>
      <w:r w:rsidRPr="00034288">
        <w:rPr>
          <w:rStyle w:val="hps"/>
        </w:rPr>
        <w:t>datos de radar</w:t>
      </w:r>
      <w:r w:rsidR="00717817" w:rsidRPr="00034288">
        <w:rPr>
          <w:rStyle w:val="hps"/>
        </w:rPr>
        <w:t>es</w:t>
      </w:r>
      <w:r w:rsidRPr="00034288">
        <w:t xml:space="preserve"> </w:t>
      </w:r>
      <w:r w:rsidRPr="00034288">
        <w:rPr>
          <w:rStyle w:val="hps"/>
        </w:rPr>
        <w:t>de control</w:t>
      </w:r>
      <w:r w:rsidRPr="00034288">
        <w:t xml:space="preserve"> </w:t>
      </w:r>
      <w:r w:rsidRPr="00034288">
        <w:rPr>
          <w:rStyle w:val="hps"/>
        </w:rPr>
        <w:t>de tráfico aéreo</w:t>
      </w:r>
      <w:r w:rsidRPr="00034288">
        <w:t>.</w:t>
      </w:r>
      <w:r w:rsidR="009F449D" w:rsidRPr="00034288">
        <w:t xml:space="preserve"> Diversos e</w:t>
      </w:r>
      <w:r w:rsidRPr="00034288">
        <w:rPr>
          <w:rStyle w:val="hps"/>
        </w:rPr>
        <w:t>studios de la UIT</w:t>
      </w:r>
      <w:r w:rsidRPr="00034288">
        <w:t xml:space="preserve"> </w:t>
      </w:r>
      <w:r w:rsidRPr="00034288">
        <w:rPr>
          <w:rStyle w:val="hps"/>
        </w:rPr>
        <w:t>han demostrado que</w:t>
      </w:r>
      <w:r w:rsidR="00373BC9" w:rsidRPr="00034288">
        <w:rPr>
          <w:rStyle w:val="hps"/>
        </w:rPr>
        <w:t xml:space="preserve"> </w:t>
      </w:r>
      <w:r w:rsidR="00373BC9" w:rsidRPr="00034288">
        <w:rPr>
          <w:color w:val="000000"/>
        </w:rPr>
        <w:t>l</w:t>
      </w:r>
      <w:r w:rsidR="00A45619" w:rsidRPr="00034288">
        <w:t>a interferencia</w:t>
      </w:r>
      <w:r w:rsidR="00717817" w:rsidRPr="00034288">
        <w:t xml:space="preserve"> causada por </w:t>
      </w:r>
      <w:r w:rsidR="00A45619" w:rsidRPr="00034288">
        <w:t xml:space="preserve">el SFS (Tierra-espacio) </w:t>
      </w:r>
      <w:r w:rsidR="009F449D" w:rsidRPr="00034288">
        <w:t>a</w:t>
      </w:r>
      <w:r w:rsidR="00A45619" w:rsidRPr="00034288">
        <w:t>l SF puede superar los criterios de protección a cientos de k</w:t>
      </w:r>
      <w:r w:rsidR="00373BC9" w:rsidRPr="00034288">
        <w:t>ilómetros</w:t>
      </w:r>
      <w:r w:rsidR="00A45619" w:rsidRPr="00034288">
        <w:t xml:space="preserve"> </w:t>
      </w:r>
      <w:r w:rsidR="00373BC9" w:rsidRPr="00034288">
        <w:t>si</w:t>
      </w:r>
      <w:r w:rsidR="008F451F" w:rsidRPr="00034288">
        <w:t xml:space="preserve"> </w:t>
      </w:r>
      <w:r w:rsidR="00373BC9" w:rsidRPr="00034288">
        <w:t>n</w:t>
      </w:r>
      <w:r w:rsidR="008F451F" w:rsidRPr="00034288">
        <w:t xml:space="preserve">o se atiende a la ubicación de las estaciones, </w:t>
      </w:r>
      <w:r w:rsidR="00373BC9" w:rsidRPr="00034288">
        <w:t xml:space="preserve">las ganancias fuera del eje de las antenas de ambos sistemas y </w:t>
      </w:r>
      <w:r w:rsidR="00C433C0" w:rsidRPr="00034288">
        <w:t xml:space="preserve">el apantallamiento, y </w:t>
      </w:r>
      <w:r w:rsidR="00373BC9" w:rsidRPr="00034288">
        <w:t>no se evita</w:t>
      </w:r>
      <w:r w:rsidR="009F449D" w:rsidRPr="00034288">
        <w:t xml:space="preserve"> la superposición de</w:t>
      </w:r>
      <w:r w:rsidR="00373BC9" w:rsidRPr="00034288">
        <w:t xml:space="preserve"> canales</w:t>
      </w:r>
      <w:r w:rsidR="00A45619" w:rsidRPr="00034288">
        <w:t xml:space="preserve">. </w:t>
      </w:r>
      <w:r w:rsidR="00373BC9" w:rsidRPr="00034288">
        <w:rPr>
          <w:rStyle w:val="hps"/>
        </w:rPr>
        <w:t>La</w:t>
      </w:r>
      <w:r w:rsidR="00373BC9" w:rsidRPr="00034288">
        <w:t xml:space="preserve"> </w:t>
      </w:r>
      <w:r w:rsidR="00373BC9" w:rsidRPr="00034288">
        <w:rPr>
          <w:rStyle w:val="hps"/>
        </w:rPr>
        <w:t>industria de satélites</w:t>
      </w:r>
      <w:r w:rsidR="00373BC9" w:rsidRPr="00034288">
        <w:t xml:space="preserve"> </w:t>
      </w:r>
      <w:r w:rsidR="00373BC9" w:rsidRPr="00034288">
        <w:rPr>
          <w:rStyle w:val="hps"/>
        </w:rPr>
        <w:t>ha expresado</w:t>
      </w:r>
      <w:r w:rsidR="00373BC9" w:rsidRPr="00034288">
        <w:t xml:space="preserve"> </w:t>
      </w:r>
      <w:r w:rsidR="009F449D" w:rsidRPr="00034288">
        <w:rPr>
          <w:rStyle w:val="hps"/>
        </w:rPr>
        <w:t xml:space="preserve">su interés </w:t>
      </w:r>
      <w:r w:rsidR="00C433C0" w:rsidRPr="00034288">
        <w:rPr>
          <w:rStyle w:val="hps"/>
        </w:rPr>
        <w:t>por</w:t>
      </w:r>
      <w:r w:rsidR="009F449D" w:rsidRPr="00034288">
        <w:rPr>
          <w:rStyle w:val="hps"/>
        </w:rPr>
        <w:t xml:space="preserve"> una utilización ubicua</w:t>
      </w:r>
      <w:r w:rsidR="00373BC9" w:rsidRPr="00034288">
        <w:t xml:space="preserve"> </w:t>
      </w:r>
      <w:r w:rsidR="009F449D" w:rsidRPr="00034288">
        <w:t>d</w:t>
      </w:r>
      <w:r w:rsidR="00373BC9" w:rsidRPr="00034288">
        <w:rPr>
          <w:rStyle w:val="hps"/>
        </w:rPr>
        <w:t>el SF</w:t>
      </w:r>
      <w:r w:rsidR="009F449D" w:rsidRPr="00034288">
        <w:rPr>
          <w:rStyle w:val="hps"/>
        </w:rPr>
        <w:t>S</w:t>
      </w:r>
      <w:r w:rsidR="00373BC9" w:rsidRPr="00034288">
        <w:rPr>
          <w:rStyle w:val="hps"/>
        </w:rPr>
        <w:t>,</w:t>
      </w:r>
      <w:r w:rsidR="00373BC9" w:rsidRPr="00034288">
        <w:t xml:space="preserve"> </w:t>
      </w:r>
      <w:r w:rsidR="00373BC9" w:rsidRPr="00034288">
        <w:rPr>
          <w:rStyle w:val="hps"/>
        </w:rPr>
        <w:t>por ejemplo</w:t>
      </w:r>
      <w:r w:rsidR="00373BC9" w:rsidRPr="00034288">
        <w:t xml:space="preserve">, </w:t>
      </w:r>
      <w:r w:rsidR="009F449D" w:rsidRPr="00034288">
        <w:t xml:space="preserve">para </w:t>
      </w:r>
      <w:r w:rsidR="00373BC9" w:rsidRPr="00034288">
        <w:rPr>
          <w:rStyle w:val="hps"/>
        </w:rPr>
        <w:t>despliegues</w:t>
      </w:r>
      <w:r w:rsidR="00373BC9" w:rsidRPr="00034288">
        <w:t xml:space="preserve"> </w:t>
      </w:r>
      <w:r w:rsidR="00C433C0" w:rsidRPr="00034288">
        <w:t xml:space="preserve">de alta </w:t>
      </w:r>
      <w:r w:rsidR="00373BC9" w:rsidRPr="00034288">
        <w:rPr>
          <w:rStyle w:val="hps"/>
        </w:rPr>
        <w:t>den</w:t>
      </w:r>
      <w:r w:rsidR="00C433C0" w:rsidRPr="00034288">
        <w:rPr>
          <w:rStyle w:val="hps"/>
        </w:rPr>
        <w:t>sidad</w:t>
      </w:r>
      <w:r w:rsidR="00373BC9" w:rsidRPr="00034288">
        <w:t xml:space="preserve"> </w:t>
      </w:r>
      <w:r w:rsidR="009F449D" w:rsidRPr="00034288">
        <w:t>de</w:t>
      </w:r>
      <w:r w:rsidR="00373BC9" w:rsidRPr="00034288">
        <w:t xml:space="preserve"> operaciones </w:t>
      </w:r>
      <w:r w:rsidR="00373BC9" w:rsidRPr="00034288">
        <w:rPr>
          <w:rStyle w:val="hps"/>
        </w:rPr>
        <w:t>de</w:t>
      </w:r>
      <w:r w:rsidR="009F449D" w:rsidRPr="00034288">
        <w:t xml:space="preserve"> terminales de muy pequeña abertura</w:t>
      </w:r>
      <w:r w:rsidR="009F449D" w:rsidRPr="00034288">
        <w:rPr>
          <w:rStyle w:val="hps"/>
        </w:rPr>
        <w:t xml:space="preserve"> (VSAT</w:t>
      </w:r>
      <w:r w:rsidR="009F449D" w:rsidRPr="00034288">
        <w:t>)</w:t>
      </w:r>
      <w:r w:rsidR="00373BC9" w:rsidRPr="00034288">
        <w:t>.</w:t>
      </w:r>
      <w:r w:rsidR="009F449D" w:rsidRPr="00034288">
        <w:t xml:space="preserve"> La implantación de</w:t>
      </w:r>
      <w:r w:rsidR="00373BC9" w:rsidRPr="00034288">
        <w:t xml:space="preserve"> </w:t>
      </w:r>
      <w:r w:rsidR="00373BC9" w:rsidRPr="00034288">
        <w:rPr>
          <w:rStyle w:val="hps"/>
        </w:rPr>
        <w:t xml:space="preserve">enlaces </w:t>
      </w:r>
      <w:r w:rsidR="00885BFC" w:rsidRPr="00034288">
        <w:rPr>
          <w:rStyle w:val="hps"/>
        </w:rPr>
        <w:t xml:space="preserve">ascendentes de satélite </w:t>
      </w:r>
      <w:r w:rsidR="00373BC9" w:rsidRPr="00034288">
        <w:rPr>
          <w:rStyle w:val="hps"/>
        </w:rPr>
        <w:t>obstaculizará</w:t>
      </w:r>
      <w:r w:rsidR="00373BC9" w:rsidRPr="00034288">
        <w:t xml:space="preserve"> </w:t>
      </w:r>
      <w:r w:rsidR="00373BC9" w:rsidRPr="00034288">
        <w:rPr>
          <w:rStyle w:val="hps"/>
        </w:rPr>
        <w:t>el funcionamiento del</w:t>
      </w:r>
      <w:r w:rsidR="00373BC9" w:rsidRPr="00034288">
        <w:t xml:space="preserve"> </w:t>
      </w:r>
      <w:r w:rsidR="00373BC9" w:rsidRPr="00034288">
        <w:rPr>
          <w:rStyle w:val="hps"/>
        </w:rPr>
        <w:t>servicio fijo</w:t>
      </w:r>
      <w:r w:rsidR="00373BC9" w:rsidRPr="00034288">
        <w:t>.</w:t>
      </w:r>
    </w:p>
    <w:p w:rsidR="009F28D0" w:rsidRPr="00034288" w:rsidRDefault="008F451F" w:rsidP="001C35C7">
      <w:r w:rsidRPr="00034288">
        <w:rPr>
          <w:color w:val="000000"/>
        </w:rPr>
        <w:t>Mucha</w:t>
      </w:r>
      <w:r w:rsidR="00885BFC" w:rsidRPr="00034288">
        <w:rPr>
          <w:color w:val="000000"/>
        </w:rPr>
        <w:t>s</w:t>
      </w:r>
      <w:r w:rsidR="00A45619" w:rsidRPr="00034288">
        <w:rPr>
          <w:color w:val="000000"/>
        </w:rPr>
        <w:t xml:space="preserve"> </w:t>
      </w:r>
      <w:r w:rsidR="001C35C7" w:rsidRPr="00034288">
        <w:t xml:space="preserve">administraciones </w:t>
      </w:r>
      <w:r w:rsidR="00885BFC" w:rsidRPr="00034288">
        <w:t>explota</w:t>
      </w:r>
      <w:r w:rsidR="009F28D0" w:rsidRPr="00034288">
        <w:t xml:space="preserve">n numerosos sistemas móviles </w:t>
      </w:r>
      <w:r w:rsidR="00885BFC" w:rsidRPr="00034288">
        <w:t xml:space="preserve">aeronáuticos </w:t>
      </w:r>
      <w:r w:rsidRPr="00034288">
        <w:t>esenciales</w:t>
      </w:r>
      <w:r w:rsidR="009F28D0" w:rsidRPr="00034288">
        <w:t xml:space="preserve"> (</w:t>
      </w:r>
      <w:r w:rsidR="00112022" w:rsidRPr="00034288">
        <w:t>de enlace ascendente, de enlace</w:t>
      </w:r>
      <w:r w:rsidR="009F28D0" w:rsidRPr="00034288">
        <w:t xml:space="preserve"> descendente y aire-aire)</w:t>
      </w:r>
      <w:r w:rsidR="00885BFC" w:rsidRPr="00034288">
        <w:t xml:space="preserve"> a escala mundial durante</w:t>
      </w:r>
      <w:r w:rsidRPr="00034288">
        <w:t xml:space="preserve"> las</w:t>
      </w:r>
      <w:r w:rsidR="009F28D0" w:rsidRPr="00034288">
        <w:t xml:space="preserve"> </w:t>
      </w:r>
      <w:r w:rsidR="00885BFC" w:rsidRPr="00034288">
        <w:t xml:space="preserve">24 horas </w:t>
      </w:r>
      <w:r w:rsidRPr="00034288">
        <w:t>de</w:t>
      </w:r>
      <w:r w:rsidR="00885BFC" w:rsidRPr="00034288">
        <w:t>l día,</w:t>
      </w:r>
      <w:r w:rsidRPr="00034288">
        <w:t xml:space="preserve"> </w:t>
      </w:r>
      <w:r w:rsidR="00885BFC" w:rsidRPr="00034288">
        <w:t>7</w:t>
      </w:r>
      <w:r w:rsidR="001C35C7" w:rsidRPr="00034288">
        <w:t> </w:t>
      </w:r>
      <w:r w:rsidR="00885BFC" w:rsidRPr="00034288">
        <w:t>días por semana,</w:t>
      </w:r>
      <w:r w:rsidR="009F28D0" w:rsidRPr="00034288">
        <w:t xml:space="preserve"> </w:t>
      </w:r>
      <w:r w:rsidR="00885BFC" w:rsidRPr="00034288">
        <w:t xml:space="preserve">con el fin de promover la coordinación en materia de seguridad, el cumplimiento de la legislación y </w:t>
      </w:r>
      <w:r w:rsidR="009F28D0" w:rsidRPr="00034288">
        <w:t xml:space="preserve">las </w:t>
      </w:r>
      <w:r w:rsidR="00885BFC" w:rsidRPr="00034288">
        <w:t>labore</w:t>
      </w:r>
      <w:r w:rsidR="009F28D0" w:rsidRPr="00034288">
        <w:t>s de asistencia humanitaria a</w:t>
      </w:r>
      <w:r w:rsidR="00885BFC" w:rsidRPr="00034288">
        <w:t xml:space="preserve"> través de la banda</w:t>
      </w:r>
      <w:r w:rsidR="009F28D0" w:rsidRPr="00034288">
        <w:t xml:space="preserve"> de frecuencias 14,5</w:t>
      </w:r>
      <w:r w:rsidR="001C35C7" w:rsidRPr="00034288">
        <w:noBreakHyphen/>
      </w:r>
      <w:r w:rsidR="009F28D0" w:rsidRPr="00034288">
        <w:t>15,35</w:t>
      </w:r>
      <w:r w:rsidR="001C35C7" w:rsidRPr="00034288">
        <w:t> </w:t>
      </w:r>
      <w:r w:rsidR="009F28D0" w:rsidRPr="00034288">
        <w:t xml:space="preserve">GHz, </w:t>
      </w:r>
      <w:r w:rsidR="00885BFC" w:rsidRPr="00034288">
        <w:t>la cual</w:t>
      </w:r>
      <w:r w:rsidR="009F28D0" w:rsidRPr="00034288">
        <w:t xml:space="preserve"> no puede permitirse interrupciones. </w:t>
      </w:r>
      <w:r w:rsidR="00885BFC" w:rsidRPr="00034288">
        <w:rPr>
          <w:rStyle w:val="hps"/>
        </w:rPr>
        <w:t>Además de los</w:t>
      </w:r>
      <w:r w:rsidR="00885BFC" w:rsidRPr="00034288">
        <w:t xml:space="preserve"> </w:t>
      </w:r>
      <w:r w:rsidR="00885BFC" w:rsidRPr="00034288">
        <w:rPr>
          <w:rStyle w:val="hps"/>
        </w:rPr>
        <w:t>estudios realizados</w:t>
      </w:r>
      <w:r w:rsidR="00885BFC" w:rsidRPr="00034288">
        <w:t xml:space="preserve"> </w:t>
      </w:r>
      <w:r w:rsidR="00885BFC" w:rsidRPr="00034288">
        <w:rPr>
          <w:rStyle w:val="hps"/>
        </w:rPr>
        <w:t>en el</w:t>
      </w:r>
      <w:r w:rsidR="00885BFC" w:rsidRPr="00034288">
        <w:t xml:space="preserve"> </w:t>
      </w:r>
      <w:r w:rsidR="00885BFC" w:rsidRPr="00034288">
        <w:rPr>
          <w:rStyle w:val="hps"/>
        </w:rPr>
        <w:t>UIT</w:t>
      </w:r>
      <w:r w:rsidR="00885BFC" w:rsidRPr="00034288">
        <w:t>-R, se han</w:t>
      </w:r>
      <w:r w:rsidRPr="00034288">
        <w:t xml:space="preserve"> analizado</w:t>
      </w:r>
      <w:r w:rsidR="00885BFC" w:rsidRPr="00034288">
        <w:t xml:space="preserve"> posibles </w:t>
      </w:r>
      <w:r w:rsidR="00C3106A" w:rsidRPr="00034288">
        <w:t xml:space="preserve">métodos </w:t>
      </w:r>
      <w:r w:rsidR="00885BFC" w:rsidRPr="00034288">
        <w:t xml:space="preserve">para facilitar la compartición, por ejemplo, </w:t>
      </w:r>
      <w:r w:rsidR="004B4E8B" w:rsidRPr="00034288">
        <w:t>mediante</w:t>
      </w:r>
      <w:r w:rsidRPr="00034288">
        <w:t xml:space="preserve"> el establecimiento de</w:t>
      </w:r>
      <w:r w:rsidR="004B4E8B" w:rsidRPr="00034288">
        <w:t xml:space="preserve"> restricciones mínimas </w:t>
      </w:r>
      <w:r w:rsidR="00885BFC" w:rsidRPr="00034288">
        <w:t>del tamaño</w:t>
      </w:r>
      <w:r w:rsidR="00C433C0" w:rsidRPr="00034288">
        <w:t xml:space="preserve"> </w:t>
      </w:r>
      <w:r w:rsidR="00885BFC" w:rsidRPr="00034288">
        <w:t xml:space="preserve">de las antenas del SFS, </w:t>
      </w:r>
      <w:r w:rsidRPr="00034288">
        <w:t>de límites</w:t>
      </w:r>
      <w:r w:rsidR="00885BFC" w:rsidRPr="00034288">
        <w:t xml:space="preserve"> de</w:t>
      </w:r>
      <w:r w:rsidR="004B4E8B" w:rsidRPr="00034288">
        <w:t xml:space="preserve"> DFP</w:t>
      </w:r>
      <w:r w:rsidR="00885BFC" w:rsidRPr="00034288">
        <w:t xml:space="preserve"> y/</w:t>
      </w:r>
      <w:r w:rsidR="00C433C0" w:rsidRPr="00034288">
        <w:t>o</w:t>
      </w:r>
      <w:r w:rsidR="00885BFC" w:rsidRPr="00034288">
        <w:t xml:space="preserve"> </w:t>
      </w:r>
      <w:r w:rsidRPr="00034288">
        <w:t xml:space="preserve">de </w:t>
      </w:r>
      <w:r w:rsidR="00885BFC" w:rsidRPr="00034288">
        <w:t>otros mecanismos de mitigación que p</w:t>
      </w:r>
      <w:r w:rsidR="004B4E8B" w:rsidRPr="00034288">
        <w:t>udiera</w:t>
      </w:r>
      <w:r w:rsidR="00885BFC" w:rsidRPr="00034288">
        <w:t xml:space="preserve">n utilizar los proveedores del SFS. </w:t>
      </w:r>
      <w:r w:rsidR="004B4E8B" w:rsidRPr="00034288">
        <w:t xml:space="preserve">Sin embargo, en cada caso, los estudios llegaron a la conclusión de que </w:t>
      </w:r>
      <w:r w:rsidR="00D17CAE" w:rsidRPr="00034288">
        <w:t xml:space="preserve">las </w:t>
      </w:r>
      <w:r w:rsidR="004B4E8B" w:rsidRPr="00034288">
        <w:t>interferencias</w:t>
      </w:r>
      <w:r w:rsidRPr="00034288">
        <w:t xml:space="preserve"> causadas</w:t>
      </w:r>
      <w:r w:rsidR="004B4E8B" w:rsidRPr="00034288">
        <w:t xml:space="preserve"> </w:t>
      </w:r>
      <w:r w:rsidR="00C3106A" w:rsidRPr="00034288">
        <w:t>a</w:t>
      </w:r>
      <w:r w:rsidRPr="00034288">
        <w:t xml:space="preserve"> </w:t>
      </w:r>
      <w:r w:rsidR="00D17CAE" w:rsidRPr="00034288">
        <w:t>l</w:t>
      </w:r>
      <w:r w:rsidRPr="00034288">
        <w:t>as operaciones</w:t>
      </w:r>
      <w:r w:rsidR="004B4E8B" w:rsidRPr="00034288">
        <w:t xml:space="preserve"> móvil</w:t>
      </w:r>
      <w:r w:rsidRPr="00034288">
        <w:t>es</w:t>
      </w:r>
      <w:r w:rsidR="004B4E8B" w:rsidRPr="00034288">
        <w:t xml:space="preserve"> aeronáutic</w:t>
      </w:r>
      <w:r w:rsidRPr="00034288">
        <w:t>as</w:t>
      </w:r>
      <w:r w:rsidR="00D17CAE" w:rsidRPr="00034288">
        <w:t xml:space="preserve"> tendrían lugar incluso a grandes distancias y que, por consiguiente, </w:t>
      </w:r>
      <w:r w:rsidR="004B4E8B" w:rsidRPr="00034288">
        <w:t>la aplicación de las técnicas de mitiga</w:t>
      </w:r>
      <w:r w:rsidR="00D17CAE" w:rsidRPr="00034288">
        <w:t>ción propuestas no resultaba práctica</w:t>
      </w:r>
      <w:r w:rsidR="00885BFC" w:rsidRPr="00034288">
        <w:t>.</w:t>
      </w:r>
      <w:r w:rsidR="00C433C0" w:rsidRPr="00034288">
        <w:t xml:space="preserve"> Si bien es probable que las</w:t>
      </w:r>
      <w:r w:rsidR="00D17CAE" w:rsidRPr="00034288">
        <w:t xml:space="preserve"> antenas más grandes </w:t>
      </w:r>
      <w:r w:rsidR="00344990" w:rsidRPr="00034288">
        <w:t>entrañe</w:t>
      </w:r>
      <w:r w:rsidR="00C433C0" w:rsidRPr="00034288">
        <w:t>n</w:t>
      </w:r>
      <w:r w:rsidR="00344990" w:rsidRPr="00034288">
        <w:t xml:space="preserve"> una disminución de </w:t>
      </w:r>
      <w:r w:rsidR="00D17CAE" w:rsidRPr="00034288">
        <w:t>la densidad de</w:t>
      </w:r>
      <w:r w:rsidR="00344990" w:rsidRPr="00034288">
        <w:t xml:space="preserve"> </w:t>
      </w:r>
      <w:r w:rsidR="00D17CAE" w:rsidRPr="00034288">
        <w:t>l</w:t>
      </w:r>
      <w:r w:rsidR="00344990" w:rsidRPr="00034288">
        <w:t>os</w:t>
      </w:r>
      <w:r w:rsidR="00D17CAE" w:rsidRPr="00034288">
        <w:t xml:space="preserve"> despliegue</w:t>
      </w:r>
      <w:r w:rsidR="00344990" w:rsidRPr="00034288">
        <w:t>s</w:t>
      </w:r>
      <w:r w:rsidR="00D17CAE" w:rsidRPr="00034288">
        <w:t xml:space="preserve"> del SFS</w:t>
      </w:r>
      <w:r w:rsidR="00344990" w:rsidRPr="00034288">
        <w:t>, así como de</w:t>
      </w:r>
      <w:r w:rsidR="00D17CAE" w:rsidRPr="00034288">
        <w:t xml:space="preserve"> los haces</w:t>
      </w:r>
      <w:r w:rsidR="00344990" w:rsidRPr="00034288">
        <w:t xml:space="preserve"> que podrían atravesar los</w:t>
      </w:r>
      <w:r w:rsidR="00D17CAE" w:rsidRPr="00034288">
        <w:t xml:space="preserve"> sistemas aeronáuticos</w:t>
      </w:r>
      <w:r w:rsidR="00344990" w:rsidRPr="00034288">
        <w:t xml:space="preserve"> en vuelo</w:t>
      </w:r>
      <w:r w:rsidR="00D17CAE" w:rsidRPr="00034288">
        <w:t>, las señales producidas por un</w:t>
      </w:r>
      <w:r w:rsidR="00344990" w:rsidRPr="00034288">
        <w:t xml:space="preserve"> despliegue de baja</w:t>
      </w:r>
      <w:r w:rsidR="00D17CAE" w:rsidRPr="00034288">
        <w:t xml:space="preserve"> densidad de antenas </w:t>
      </w:r>
      <w:r w:rsidR="00097AB5" w:rsidRPr="00034288">
        <w:t>del</w:t>
      </w:r>
      <w:r w:rsidR="00D17CAE" w:rsidRPr="00034288">
        <w:t xml:space="preserve"> SFS </w:t>
      </w:r>
      <w:r w:rsidR="00097AB5" w:rsidRPr="00034288">
        <w:t>de alta ganancia</w:t>
      </w:r>
      <w:r w:rsidR="00344990" w:rsidRPr="00034288">
        <w:t xml:space="preserve"> también</w:t>
      </w:r>
      <w:r w:rsidR="00097AB5" w:rsidRPr="00034288">
        <w:t xml:space="preserve"> </w:t>
      </w:r>
      <w:r w:rsidR="00D17CAE" w:rsidRPr="00034288">
        <w:t xml:space="preserve">excederían </w:t>
      </w:r>
      <w:r w:rsidR="00097AB5" w:rsidRPr="00034288">
        <w:t>con frecuencia</w:t>
      </w:r>
      <w:r w:rsidR="00D17CAE" w:rsidRPr="00034288">
        <w:t xml:space="preserve"> los umbrales de los receptores a bordo de aeronaves a may</w:t>
      </w:r>
      <w:r w:rsidR="00097AB5" w:rsidRPr="00034288">
        <w:t>ores niveles y distancias que la</w:t>
      </w:r>
      <w:r w:rsidR="00D17CAE" w:rsidRPr="00034288">
        <w:t>s producid</w:t>
      </w:r>
      <w:r w:rsidR="00344990" w:rsidRPr="00034288">
        <w:t>a</w:t>
      </w:r>
      <w:r w:rsidR="00D17CAE" w:rsidRPr="00034288">
        <w:t xml:space="preserve">s por </w:t>
      </w:r>
      <w:r w:rsidR="00097AB5" w:rsidRPr="00034288">
        <w:t xml:space="preserve">antenas </w:t>
      </w:r>
      <w:r w:rsidR="00C433C0" w:rsidRPr="00034288">
        <w:t xml:space="preserve">parabólicas </w:t>
      </w:r>
      <w:r w:rsidR="00097AB5" w:rsidRPr="00034288">
        <w:t>pequeñas</w:t>
      </w:r>
      <w:r w:rsidR="00D17CAE" w:rsidRPr="00034288">
        <w:t>.</w:t>
      </w:r>
      <w:r w:rsidR="00A45619" w:rsidRPr="00034288">
        <w:t xml:space="preserve"> </w:t>
      </w:r>
      <w:r w:rsidR="009F28D0" w:rsidRPr="00034288">
        <w:t>Algunos estudios de compartición demuestran que, con el fin de proteger los receptores de</w:t>
      </w:r>
      <w:r w:rsidR="00097AB5" w:rsidRPr="00034288">
        <w:t>l</w:t>
      </w:r>
      <w:r w:rsidR="009F28D0" w:rsidRPr="00034288">
        <w:t xml:space="preserve"> SMA que </w:t>
      </w:r>
      <w:r w:rsidR="00097AB5" w:rsidRPr="00034288">
        <w:t>funcionan en la banda de frecuencias</w:t>
      </w:r>
      <w:r w:rsidR="009F28D0" w:rsidRPr="00034288">
        <w:t xml:space="preserve"> 14,5</w:t>
      </w:r>
      <w:r w:rsidR="001C35C7" w:rsidRPr="00034288">
        <w:noBreakHyphen/>
      </w:r>
      <w:r w:rsidR="009F28D0" w:rsidRPr="00034288">
        <w:t>15,35</w:t>
      </w:r>
      <w:r w:rsidR="001C35C7" w:rsidRPr="00034288">
        <w:t> </w:t>
      </w:r>
      <w:r w:rsidR="009F28D0" w:rsidRPr="00034288">
        <w:t xml:space="preserve">GHz, </w:t>
      </w:r>
      <w:r w:rsidR="00097AB5" w:rsidRPr="00034288">
        <w:t>se requiere</w:t>
      </w:r>
      <w:r w:rsidR="009F28D0" w:rsidRPr="00034288">
        <w:t xml:space="preserve"> una distancia de separación</w:t>
      </w:r>
      <w:r w:rsidR="00097AB5" w:rsidRPr="00034288">
        <w:t xml:space="preserve"> que oscila entre</w:t>
      </w:r>
      <w:r w:rsidR="009F28D0" w:rsidRPr="00034288">
        <w:t xml:space="preserve"> 400</w:t>
      </w:r>
      <w:r w:rsidR="00097AB5" w:rsidRPr="00034288">
        <w:t xml:space="preserve"> y </w:t>
      </w:r>
      <w:r w:rsidR="009F28D0" w:rsidRPr="00034288">
        <w:t xml:space="preserve">575 km </w:t>
      </w:r>
      <w:r w:rsidR="00097AB5" w:rsidRPr="00034288">
        <w:t xml:space="preserve">cuando la aeronave se encuentra a </w:t>
      </w:r>
      <w:r w:rsidR="009F28D0" w:rsidRPr="00034288">
        <w:t>19 km de altitud</w:t>
      </w:r>
      <w:r w:rsidR="00097AB5" w:rsidRPr="00034288">
        <w:t>,</w:t>
      </w:r>
      <w:r w:rsidR="009F28D0" w:rsidRPr="00034288">
        <w:t xml:space="preserve"> y en</w:t>
      </w:r>
      <w:r w:rsidR="00097AB5" w:rsidRPr="00034288">
        <w:t>tre</w:t>
      </w:r>
      <w:r w:rsidR="009F28D0" w:rsidRPr="00034288">
        <w:t xml:space="preserve"> 150</w:t>
      </w:r>
      <w:r w:rsidR="00097AB5" w:rsidRPr="00034288">
        <w:t xml:space="preserve"> y </w:t>
      </w:r>
      <w:r w:rsidR="009F28D0" w:rsidRPr="00034288">
        <w:t xml:space="preserve">180 km </w:t>
      </w:r>
      <w:r w:rsidR="00097AB5" w:rsidRPr="00034288">
        <w:t>cuando la aeronave se encuentra a</w:t>
      </w:r>
      <w:r w:rsidR="009F28D0" w:rsidRPr="00034288">
        <w:t xml:space="preserve"> 2,4</w:t>
      </w:r>
      <w:r w:rsidR="001C35C7" w:rsidRPr="00034288">
        <w:t> </w:t>
      </w:r>
      <w:r w:rsidR="009F28D0" w:rsidRPr="00034288">
        <w:t>km de altitud.</w:t>
      </w:r>
    </w:p>
    <w:p w:rsidR="001C35C7" w:rsidRPr="00034288" w:rsidRDefault="00097AB5" w:rsidP="001C35C7">
      <w:r w:rsidRPr="00034288">
        <w:t>Cabe señalar que la banda</w:t>
      </w:r>
      <w:r w:rsidR="00A45619" w:rsidRPr="00034288">
        <w:t xml:space="preserve"> 14,5-14,8 GHz es</w:t>
      </w:r>
      <w:r w:rsidR="00B443E3" w:rsidRPr="00034288">
        <w:t>tá atribuida</w:t>
      </w:r>
      <w:r w:rsidR="00A45619" w:rsidRPr="00034288">
        <w:t xml:space="preserve"> al SFS (Tierra</w:t>
      </w:r>
      <w:r w:rsidR="00B443E3" w:rsidRPr="00034288">
        <w:t>-espacio) y que su utilización por dicho servicio está limitada a los enlaces de conexión para el servicio de radiodifusión por satélite</w:t>
      </w:r>
      <w:r w:rsidR="00A45619" w:rsidRPr="00034288">
        <w:t xml:space="preserve"> fuera de Europa. </w:t>
      </w:r>
      <w:r w:rsidR="00B443E3" w:rsidRPr="00034288">
        <w:t>Esta</w:t>
      </w:r>
      <w:r w:rsidR="00A45619" w:rsidRPr="00034288">
        <w:t xml:space="preserve">s bandas planificadas </w:t>
      </w:r>
      <w:r w:rsidR="00C433C0" w:rsidRPr="00034288">
        <w:t>anticipan</w:t>
      </w:r>
      <w:r w:rsidR="00A45619" w:rsidRPr="00034288">
        <w:t xml:space="preserve"> las futuras </w:t>
      </w:r>
      <w:r w:rsidR="00B443E3" w:rsidRPr="00034288">
        <w:t xml:space="preserve">necesidades </w:t>
      </w:r>
      <w:r w:rsidR="00A45619" w:rsidRPr="00034288">
        <w:t xml:space="preserve">de los países en desarrollo. </w:t>
      </w:r>
      <w:r w:rsidR="00B443E3" w:rsidRPr="00034288">
        <w:t>No obstante los satélites actualmente inscritos en el Registro Internacional de Frecuencias, no se ha notificado ninguna estación terrena típica o específica para esta banda.</w:t>
      </w:r>
      <w:r w:rsidR="00A45619" w:rsidRPr="00034288">
        <w:t xml:space="preserve"> La </w:t>
      </w:r>
      <w:r w:rsidR="00B443E3" w:rsidRPr="00034288">
        <w:t>limitación a los enlaces de conexión</w:t>
      </w:r>
      <w:r w:rsidR="00C433C0" w:rsidRPr="00034288">
        <w:t xml:space="preserve"> del SFS</w:t>
      </w:r>
      <w:r w:rsidR="00B443E3" w:rsidRPr="00034288">
        <w:t xml:space="preserve"> para el servicio de radiodifusión</w:t>
      </w:r>
      <w:r w:rsidR="00A45619" w:rsidRPr="00034288">
        <w:t>, aunque no asegura la protección de todas las operaciones del SMA, minimiza los posibles</w:t>
      </w:r>
      <w:r w:rsidR="003752D2" w:rsidRPr="00034288">
        <w:t xml:space="preserve"> conflictos.</w:t>
      </w:r>
    </w:p>
    <w:p w:rsidR="00F008F3" w:rsidRDefault="004873BB" w:rsidP="00D44B91">
      <w:pPr>
        <w:pStyle w:val="ArtNo"/>
        <w:rPr>
          <w:rStyle w:val="href"/>
        </w:rPr>
      </w:pPr>
      <w:r w:rsidRPr="00034288">
        <w:lastRenderedPageBreak/>
        <w:t xml:space="preserve">ARTÍCULO </w:t>
      </w:r>
      <w:r w:rsidRPr="00034288">
        <w:rPr>
          <w:rStyle w:val="href"/>
        </w:rPr>
        <w:t>5</w:t>
      </w:r>
    </w:p>
    <w:p w:rsidR="00F008F3" w:rsidRPr="00034288" w:rsidRDefault="004873BB" w:rsidP="001C35C7">
      <w:pPr>
        <w:pStyle w:val="Arttitle"/>
      </w:pPr>
      <w:r w:rsidRPr="00034288">
        <w:t>Atribuciones de frecuencia</w:t>
      </w:r>
    </w:p>
    <w:p w:rsidR="00F008F3" w:rsidRPr="00034288" w:rsidRDefault="004873BB" w:rsidP="001C35C7">
      <w:pPr>
        <w:pStyle w:val="Section1"/>
        <w:keepNext/>
        <w:keepLines/>
      </w:pPr>
      <w:r w:rsidRPr="00034288">
        <w:t>Sección IV – Cuadro de atribución de bandas de frecuencias</w:t>
      </w:r>
      <w:r w:rsidRPr="00034288">
        <w:br/>
      </w:r>
      <w:r w:rsidRPr="00034288">
        <w:rPr>
          <w:b w:val="0"/>
          <w:bCs/>
        </w:rPr>
        <w:t>(Véase el número</w:t>
      </w:r>
      <w:r w:rsidRPr="00034288">
        <w:t xml:space="preserve"> </w:t>
      </w:r>
      <w:r w:rsidRPr="00034288">
        <w:rPr>
          <w:rStyle w:val="Artref"/>
        </w:rPr>
        <w:t>2.1</w:t>
      </w:r>
      <w:r w:rsidRPr="00034288">
        <w:rPr>
          <w:b w:val="0"/>
          <w:bCs/>
        </w:rPr>
        <w:t>)</w:t>
      </w:r>
      <w:r w:rsidRPr="00034288">
        <w:br/>
      </w:r>
    </w:p>
    <w:p w:rsidR="00287382" w:rsidRDefault="004873BB">
      <w:pPr>
        <w:pStyle w:val="Proposal"/>
      </w:pPr>
      <w:r w:rsidRPr="00034288">
        <w:rPr>
          <w:u w:val="single"/>
        </w:rPr>
        <w:t>NOC</w:t>
      </w:r>
      <w:r w:rsidRPr="00034288">
        <w:tab/>
      </w:r>
      <w:r w:rsidR="007653F1">
        <w:t>BAH/</w:t>
      </w:r>
      <w:r w:rsidR="00DD28B9">
        <w:t>BLZ/</w:t>
      </w:r>
      <w:r w:rsidRPr="00034288">
        <w:t>CAN/CTR/EQA/USA/JMC/PRG/71/1</w:t>
      </w:r>
    </w:p>
    <w:p w:rsidR="0025639D" w:rsidRPr="0025639D" w:rsidRDefault="0025639D" w:rsidP="0025639D"/>
    <w:p w:rsidR="00F008F3" w:rsidRPr="00034288" w:rsidRDefault="004873BB" w:rsidP="004D72B7">
      <w:pPr>
        <w:pStyle w:val="Tabletitle"/>
      </w:pPr>
      <w:r w:rsidRPr="00034288">
        <w:t>14-15,4 GHz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F008F3" w:rsidRPr="00034288" w:rsidTr="0048257C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034288" w:rsidRDefault="004873BB" w:rsidP="0048257C">
            <w:pPr>
              <w:pStyle w:val="Tablehead"/>
              <w:spacing w:before="60" w:after="60"/>
              <w:rPr>
                <w:color w:val="000000"/>
              </w:rPr>
            </w:pPr>
            <w:r w:rsidRPr="00034288">
              <w:rPr>
                <w:color w:val="000000"/>
              </w:rPr>
              <w:t>Atribución a los servicios</w:t>
            </w:r>
          </w:p>
        </w:tc>
      </w:tr>
      <w:tr w:rsidR="00F008F3" w:rsidRPr="00034288" w:rsidTr="0048257C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034288" w:rsidRDefault="004873BB" w:rsidP="0048257C">
            <w:pPr>
              <w:pStyle w:val="Tablehead"/>
              <w:spacing w:before="60" w:after="60"/>
              <w:rPr>
                <w:color w:val="000000"/>
              </w:rPr>
            </w:pPr>
            <w:r w:rsidRPr="00034288">
              <w:rPr>
                <w:color w:val="000000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034288" w:rsidRDefault="004873BB" w:rsidP="0048257C">
            <w:pPr>
              <w:pStyle w:val="Tablehead"/>
              <w:spacing w:before="60" w:after="60"/>
              <w:rPr>
                <w:color w:val="000000"/>
              </w:rPr>
            </w:pPr>
            <w:r w:rsidRPr="00034288">
              <w:rPr>
                <w:color w:val="000000"/>
              </w:rPr>
              <w:t>Región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034288" w:rsidRDefault="004873BB" w:rsidP="0048257C">
            <w:pPr>
              <w:pStyle w:val="Tablehead"/>
              <w:spacing w:before="60" w:after="60"/>
              <w:rPr>
                <w:color w:val="000000"/>
              </w:rPr>
            </w:pPr>
            <w:r w:rsidRPr="00034288">
              <w:rPr>
                <w:color w:val="000000"/>
              </w:rPr>
              <w:t>Región 3</w:t>
            </w:r>
          </w:p>
        </w:tc>
      </w:tr>
      <w:tr w:rsidR="00F008F3" w:rsidRPr="00034288" w:rsidTr="0048257C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034288" w:rsidRDefault="004873BB" w:rsidP="0048257C">
            <w:pPr>
              <w:pStyle w:val="TableTextS5"/>
              <w:spacing w:before="30" w:after="30"/>
              <w:rPr>
                <w:color w:val="000000"/>
              </w:rPr>
            </w:pPr>
            <w:r w:rsidRPr="00034288">
              <w:rPr>
                <w:rStyle w:val="Tablefreq"/>
                <w:color w:val="000000"/>
              </w:rPr>
              <w:t>14,5-14,8</w:t>
            </w:r>
            <w:r w:rsidRPr="00034288">
              <w:rPr>
                <w:color w:val="000000"/>
              </w:rPr>
              <w:tab/>
              <w:t>FIJO</w:t>
            </w:r>
          </w:p>
          <w:p w:rsidR="00F008F3" w:rsidRPr="00034288" w:rsidRDefault="004873BB" w:rsidP="0048257C">
            <w:pPr>
              <w:pStyle w:val="TableTextS5"/>
              <w:spacing w:before="30" w:after="30"/>
              <w:rPr>
                <w:color w:val="000000"/>
              </w:rPr>
            </w:pPr>
            <w:r w:rsidRPr="00034288">
              <w:rPr>
                <w:color w:val="000000"/>
              </w:rPr>
              <w:tab/>
            </w:r>
            <w:r w:rsidRPr="00034288">
              <w:rPr>
                <w:color w:val="000000"/>
              </w:rPr>
              <w:tab/>
            </w:r>
            <w:r w:rsidRPr="00034288">
              <w:rPr>
                <w:color w:val="000000"/>
              </w:rPr>
              <w:tab/>
            </w:r>
            <w:r w:rsidRPr="00034288">
              <w:rPr>
                <w:color w:val="000000"/>
              </w:rPr>
              <w:tab/>
              <w:t xml:space="preserve">FIJO POR SATÉLITE (Tierra-espacio)  </w:t>
            </w:r>
            <w:r w:rsidRPr="00034288">
              <w:rPr>
                <w:rStyle w:val="Artref"/>
                <w:color w:val="000000"/>
              </w:rPr>
              <w:t>5.510</w:t>
            </w:r>
          </w:p>
          <w:p w:rsidR="00F008F3" w:rsidRPr="00034288" w:rsidRDefault="004873BB" w:rsidP="0048257C">
            <w:pPr>
              <w:pStyle w:val="TableTextS5"/>
              <w:spacing w:before="30" w:after="30"/>
              <w:rPr>
                <w:color w:val="000000"/>
              </w:rPr>
            </w:pPr>
            <w:r w:rsidRPr="00034288">
              <w:rPr>
                <w:color w:val="000000"/>
              </w:rPr>
              <w:tab/>
            </w:r>
            <w:r w:rsidRPr="00034288">
              <w:rPr>
                <w:color w:val="000000"/>
              </w:rPr>
              <w:tab/>
            </w:r>
            <w:r w:rsidRPr="00034288">
              <w:rPr>
                <w:color w:val="000000"/>
              </w:rPr>
              <w:tab/>
            </w:r>
            <w:r w:rsidRPr="00034288">
              <w:rPr>
                <w:color w:val="000000"/>
              </w:rPr>
              <w:tab/>
              <w:t>MÓVIL</w:t>
            </w:r>
          </w:p>
          <w:p w:rsidR="00F008F3" w:rsidRPr="00034288" w:rsidRDefault="004873BB" w:rsidP="0048257C">
            <w:pPr>
              <w:pStyle w:val="TableTextS5"/>
              <w:spacing w:before="30" w:after="30"/>
              <w:rPr>
                <w:color w:val="000000"/>
              </w:rPr>
            </w:pPr>
            <w:r w:rsidRPr="00034288">
              <w:rPr>
                <w:color w:val="000000"/>
              </w:rPr>
              <w:tab/>
            </w:r>
            <w:r w:rsidRPr="00034288">
              <w:rPr>
                <w:color w:val="000000"/>
              </w:rPr>
              <w:tab/>
            </w:r>
            <w:r w:rsidRPr="00034288">
              <w:rPr>
                <w:color w:val="000000"/>
              </w:rPr>
              <w:tab/>
            </w:r>
            <w:r w:rsidRPr="00034288">
              <w:rPr>
                <w:color w:val="000000"/>
              </w:rPr>
              <w:tab/>
              <w:t>Investigación espacial</w:t>
            </w:r>
          </w:p>
        </w:tc>
      </w:tr>
      <w:tr w:rsidR="00F008F3" w:rsidRPr="00034288" w:rsidTr="0048257C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034288" w:rsidRDefault="004873BB" w:rsidP="0048257C">
            <w:pPr>
              <w:pStyle w:val="TableTextS5"/>
              <w:spacing w:before="30" w:after="30"/>
              <w:rPr>
                <w:color w:val="000000"/>
              </w:rPr>
            </w:pPr>
            <w:r w:rsidRPr="00034288">
              <w:rPr>
                <w:rStyle w:val="Tablefreq"/>
                <w:color w:val="000000"/>
              </w:rPr>
              <w:t>14,8-15,35</w:t>
            </w:r>
            <w:r w:rsidRPr="00034288">
              <w:rPr>
                <w:color w:val="000000"/>
              </w:rPr>
              <w:tab/>
              <w:t>FIJO</w:t>
            </w:r>
          </w:p>
          <w:p w:rsidR="00F008F3" w:rsidRPr="00034288" w:rsidRDefault="004873BB" w:rsidP="0048257C">
            <w:pPr>
              <w:pStyle w:val="TableTextS5"/>
              <w:spacing w:before="30" w:after="30"/>
              <w:rPr>
                <w:color w:val="000000"/>
              </w:rPr>
            </w:pPr>
            <w:r w:rsidRPr="00034288">
              <w:rPr>
                <w:color w:val="000000"/>
              </w:rPr>
              <w:tab/>
            </w:r>
            <w:r w:rsidRPr="00034288">
              <w:rPr>
                <w:color w:val="000000"/>
              </w:rPr>
              <w:tab/>
            </w:r>
            <w:r w:rsidRPr="00034288">
              <w:rPr>
                <w:color w:val="000000"/>
              </w:rPr>
              <w:tab/>
            </w:r>
            <w:r w:rsidRPr="00034288">
              <w:rPr>
                <w:color w:val="000000"/>
              </w:rPr>
              <w:tab/>
              <w:t>MÓVIL</w:t>
            </w:r>
          </w:p>
          <w:p w:rsidR="00F008F3" w:rsidRPr="00034288" w:rsidRDefault="004873BB" w:rsidP="0048257C">
            <w:pPr>
              <w:pStyle w:val="TableTextS5"/>
              <w:spacing w:before="30" w:after="30"/>
              <w:rPr>
                <w:color w:val="000000"/>
              </w:rPr>
            </w:pPr>
            <w:r w:rsidRPr="00034288">
              <w:rPr>
                <w:color w:val="000000"/>
              </w:rPr>
              <w:tab/>
            </w:r>
            <w:r w:rsidRPr="00034288">
              <w:rPr>
                <w:color w:val="000000"/>
              </w:rPr>
              <w:tab/>
            </w:r>
            <w:r w:rsidRPr="00034288">
              <w:rPr>
                <w:color w:val="000000"/>
              </w:rPr>
              <w:tab/>
            </w:r>
            <w:r w:rsidRPr="00034288">
              <w:rPr>
                <w:color w:val="000000"/>
              </w:rPr>
              <w:tab/>
              <w:t>Investigación espacial</w:t>
            </w:r>
          </w:p>
          <w:p w:rsidR="00F008F3" w:rsidRPr="00034288" w:rsidRDefault="004873BB" w:rsidP="0048257C">
            <w:pPr>
              <w:pStyle w:val="TableTextS5"/>
              <w:spacing w:before="30" w:after="30"/>
              <w:rPr>
                <w:color w:val="000000"/>
              </w:rPr>
            </w:pPr>
            <w:r w:rsidRPr="00034288">
              <w:rPr>
                <w:color w:val="000000"/>
              </w:rPr>
              <w:tab/>
            </w:r>
            <w:r w:rsidRPr="00034288">
              <w:rPr>
                <w:color w:val="000000"/>
              </w:rPr>
              <w:tab/>
            </w:r>
            <w:r w:rsidRPr="00034288">
              <w:rPr>
                <w:color w:val="000000"/>
              </w:rPr>
              <w:tab/>
            </w:r>
            <w:r w:rsidRPr="00034288">
              <w:rPr>
                <w:color w:val="000000"/>
              </w:rPr>
              <w:tab/>
            </w:r>
            <w:r w:rsidRPr="00034288">
              <w:rPr>
                <w:rStyle w:val="Artref"/>
                <w:color w:val="000000"/>
              </w:rPr>
              <w:t>5.339</w:t>
            </w:r>
          </w:p>
        </w:tc>
      </w:tr>
    </w:tbl>
    <w:p w:rsidR="00287382" w:rsidRPr="00034288" w:rsidRDefault="004873BB" w:rsidP="00A02353">
      <w:pPr>
        <w:pStyle w:val="Reasons"/>
      </w:pPr>
      <w:r w:rsidRPr="00034288">
        <w:rPr>
          <w:b/>
        </w:rPr>
        <w:t>Motivos:</w:t>
      </w:r>
      <w:r w:rsidRPr="00034288">
        <w:tab/>
      </w:r>
      <w:r w:rsidR="00EE1B25" w:rsidRPr="00034288">
        <w:t>Algunos estudios del UIT-R indican posibles interferencias</w:t>
      </w:r>
      <w:r w:rsidR="00B443E3" w:rsidRPr="00034288">
        <w:t xml:space="preserve"> </w:t>
      </w:r>
      <w:r w:rsidR="00A02353" w:rsidRPr="00034288">
        <w:t>a</w:t>
      </w:r>
      <w:r w:rsidR="00EE1B25" w:rsidRPr="00034288">
        <w:t xml:space="preserve"> los sistemas </w:t>
      </w:r>
      <w:r w:rsidR="00B443E3" w:rsidRPr="00034288">
        <w:t xml:space="preserve">del </w:t>
      </w:r>
      <w:r w:rsidR="007E207D" w:rsidRPr="00034288">
        <w:t xml:space="preserve">SF, el </w:t>
      </w:r>
      <w:r w:rsidR="00EE1B25" w:rsidRPr="00034288">
        <w:t>SM y</w:t>
      </w:r>
      <w:r w:rsidR="007E207D" w:rsidRPr="00034288">
        <w:t xml:space="preserve"> el</w:t>
      </w:r>
      <w:r w:rsidR="00EE1B25" w:rsidRPr="00034288">
        <w:t xml:space="preserve"> SMA existentes.</w:t>
      </w:r>
    </w:p>
    <w:p w:rsidR="00EE1B25" w:rsidRPr="00034288" w:rsidRDefault="00EE1B25" w:rsidP="00307B2C">
      <w:pPr>
        <w:pStyle w:val="Reasons"/>
      </w:pPr>
    </w:p>
    <w:p w:rsidR="00EE1B25" w:rsidRPr="00034288" w:rsidRDefault="00EE1B25">
      <w:pPr>
        <w:jc w:val="center"/>
      </w:pPr>
      <w:r w:rsidRPr="00034288">
        <w:t>______________</w:t>
      </w:r>
    </w:p>
    <w:p w:rsidR="00EE1B25" w:rsidRPr="00034288" w:rsidRDefault="00EE1B25" w:rsidP="00EE1B25">
      <w:pPr>
        <w:pStyle w:val="Reasons"/>
        <w:spacing w:line="480" w:lineRule="auto"/>
      </w:pPr>
    </w:p>
    <w:sectPr w:rsidR="00EE1B25" w:rsidRPr="00034288" w:rsidSect="00FA247B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FF7869">
      <w:rPr>
        <w:noProof/>
        <w:lang w:val="en-US"/>
      </w:rPr>
      <w:t>P:\TRAD\S\ITU-R\CONF-R\CMR15\000\071 (388468) LIN 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D28B9">
      <w:rPr>
        <w:noProof/>
      </w:rPr>
      <w:t>09.11.15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F7869">
      <w:rPr>
        <w:noProof/>
      </w:rPr>
      <w:t>21.10.15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CD6" w:rsidRPr="007653F1" w:rsidRDefault="007653F1" w:rsidP="007653F1">
    <w:pPr>
      <w:pStyle w:val="Footer"/>
      <w:rPr>
        <w:lang w:val="en-US"/>
      </w:rPr>
    </w:pPr>
    <w:r>
      <w:fldChar w:fldCharType="begin"/>
    </w:r>
    <w:r w:rsidRPr="007653F1">
      <w:rPr>
        <w:lang w:val="en-US"/>
      </w:rPr>
      <w:instrText xml:space="preserve"> FILENAME \p  \* MERGEFORMAT </w:instrText>
    </w:r>
    <w:r>
      <w:fldChar w:fldCharType="separate"/>
    </w:r>
    <w:r w:rsidR="00386AFF">
      <w:rPr>
        <w:lang w:val="en-US"/>
      </w:rPr>
      <w:t>P:\ESP\ITU-R\CONF-R\CMR15\000\071REV2S.docx</w:t>
    </w:r>
    <w:r>
      <w:fldChar w:fldCharType="end"/>
    </w:r>
    <w:r w:rsidRPr="007653F1">
      <w:rPr>
        <w:lang w:val="en-US"/>
      </w:rPr>
      <w:t xml:space="preserve"> (</w:t>
    </w:r>
    <w:r w:rsidR="00386AFF">
      <w:rPr>
        <w:lang w:val="en-US"/>
      </w:rPr>
      <w:t>390044</w:t>
    </w:r>
    <w:r w:rsidRPr="007653F1">
      <w:rPr>
        <w:lang w:val="en-US"/>
      </w:rPr>
      <w:t>)</w:t>
    </w:r>
    <w:r w:rsidRPr="007653F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D28B9">
      <w:t>09.11.15</w:t>
    </w:r>
    <w:r>
      <w:fldChar w:fldCharType="end"/>
    </w:r>
    <w:r w:rsidRPr="007653F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21.10.15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CD6" w:rsidRPr="00386AFF" w:rsidRDefault="00386AFF" w:rsidP="00386AFF">
    <w:pPr>
      <w:pStyle w:val="Footer"/>
      <w:rPr>
        <w:lang w:val="en-US"/>
      </w:rPr>
    </w:pPr>
    <w:r>
      <w:fldChar w:fldCharType="begin"/>
    </w:r>
    <w:r w:rsidRPr="007653F1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P:\ESP\ITU-R\CONF-R\CMR15\000\071REV2S.docx</w:t>
    </w:r>
    <w:r>
      <w:fldChar w:fldCharType="end"/>
    </w:r>
    <w:r w:rsidRPr="007653F1">
      <w:rPr>
        <w:lang w:val="en-US"/>
      </w:rPr>
      <w:t xml:space="preserve"> (</w:t>
    </w:r>
    <w:r>
      <w:rPr>
        <w:lang w:val="en-US"/>
      </w:rPr>
      <w:t>390044</w:t>
    </w:r>
    <w:r w:rsidRPr="007653F1">
      <w:rPr>
        <w:lang w:val="en-US"/>
      </w:rPr>
      <w:t>)</w:t>
    </w:r>
    <w:r w:rsidRPr="007653F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09.11.15</w:t>
    </w:r>
    <w:r>
      <w:fldChar w:fldCharType="end"/>
    </w:r>
    <w:r w:rsidRPr="007653F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86AFF">
      <w:rPr>
        <w:rStyle w:val="PageNumber"/>
        <w:noProof/>
      </w:rPr>
      <w:t>3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71</w:t>
    </w:r>
    <w:r w:rsidR="007653F1">
      <w:t>(Rev.1)</w:t>
    </w:r>
    <w:r w:rsidR="00702F3D">
      <w:t>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34288"/>
    <w:rsid w:val="00087AE8"/>
    <w:rsid w:val="00097AB5"/>
    <w:rsid w:val="000A5B9A"/>
    <w:rsid w:val="000E5BF9"/>
    <w:rsid w:val="000F0E6D"/>
    <w:rsid w:val="00112022"/>
    <w:rsid w:val="00121170"/>
    <w:rsid w:val="00123CC5"/>
    <w:rsid w:val="0015142D"/>
    <w:rsid w:val="001616DC"/>
    <w:rsid w:val="00163962"/>
    <w:rsid w:val="00182535"/>
    <w:rsid w:val="00191A97"/>
    <w:rsid w:val="001A083F"/>
    <w:rsid w:val="001C35C7"/>
    <w:rsid w:val="001C41FA"/>
    <w:rsid w:val="001E2B52"/>
    <w:rsid w:val="001E3F27"/>
    <w:rsid w:val="0020523B"/>
    <w:rsid w:val="00236D2A"/>
    <w:rsid w:val="00255F12"/>
    <w:rsid w:val="0025639D"/>
    <w:rsid w:val="00262C09"/>
    <w:rsid w:val="00287382"/>
    <w:rsid w:val="002A791F"/>
    <w:rsid w:val="002C1B26"/>
    <w:rsid w:val="002C5D6C"/>
    <w:rsid w:val="002E701F"/>
    <w:rsid w:val="00307B2C"/>
    <w:rsid w:val="00310D19"/>
    <w:rsid w:val="003248A9"/>
    <w:rsid w:val="00324FFA"/>
    <w:rsid w:val="0032680B"/>
    <w:rsid w:val="00344990"/>
    <w:rsid w:val="00355ADD"/>
    <w:rsid w:val="00363A65"/>
    <w:rsid w:val="00373BC9"/>
    <w:rsid w:val="003752D2"/>
    <w:rsid w:val="00386AFF"/>
    <w:rsid w:val="003B1E8C"/>
    <w:rsid w:val="003B5CD6"/>
    <w:rsid w:val="003C2508"/>
    <w:rsid w:val="003D0AA3"/>
    <w:rsid w:val="003E60F7"/>
    <w:rsid w:val="00440B3A"/>
    <w:rsid w:val="0045384C"/>
    <w:rsid w:val="00454553"/>
    <w:rsid w:val="00455249"/>
    <w:rsid w:val="004873BB"/>
    <w:rsid w:val="004B124A"/>
    <w:rsid w:val="004B4E8B"/>
    <w:rsid w:val="004C7ADA"/>
    <w:rsid w:val="004F438C"/>
    <w:rsid w:val="005133B5"/>
    <w:rsid w:val="00522601"/>
    <w:rsid w:val="005313EA"/>
    <w:rsid w:val="00532097"/>
    <w:rsid w:val="00542055"/>
    <w:rsid w:val="0058350F"/>
    <w:rsid w:val="00583C7E"/>
    <w:rsid w:val="005D46FB"/>
    <w:rsid w:val="005E4251"/>
    <w:rsid w:val="005F2605"/>
    <w:rsid w:val="005F3B0E"/>
    <w:rsid w:val="005F559C"/>
    <w:rsid w:val="00662323"/>
    <w:rsid w:val="00662BA0"/>
    <w:rsid w:val="00691A03"/>
    <w:rsid w:val="00692AAE"/>
    <w:rsid w:val="006D6E67"/>
    <w:rsid w:val="006E1A13"/>
    <w:rsid w:val="00701C20"/>
    <w:rsid w:val="00702F3D"/>
    <w:rsid w:val="0070518E"/>
    <w:rsid w:val="00717817"/>
    <w:rsid w:val="007354E9"/>
    <w:rsid w:val="007653F1"/>
    <w:rsid w:val="00765578"/>
    <w:rsid w:val="0077084A"/>
    <w:rsid w:val="007952C7"/>
    <w:rsid w:val="00796138"/>
    <w:rsid w:val="007C0B95"/>
    <w:rsid w:val="007C2317"/>
    <w:rsid w:val="007D330A"/>
    <w:rsid w:val="007E0306"/>
    <w:rsid w:val="007E207D"/>
    <w:rsid w:val="00861CAA"/>
    <w:rsid w:val="00866AE6"/>
    <w:rsid w:val="008750A8"/>
    <w:rsid w:val="00885BFC"/>
    <w:rsid w:val="008E5AF2"/>
    <w:rsid w:val="008F451F"/>
    <w:rsid w:val="0090121B"/>
    <w:rsid w:val="009144C9"/>
    <w:rsid w:val="0094091F"/>
    <w:rsid w:val="00973754"/>
    <w:rsid w:val="009C0BED"/>
    <w:rsid w:val="009E11EC"/>
    <w:rsid w:val="009F28D0"/>
    <w:rsid w:val="009F449D"/>
    <w:rsid w:val="00A02353"/>
    <w:rsid w:val="00A118DB"/>
    <w:rsid w:val="00A3542B"/>
    <w:rsid w:val="00A4450C"/>
    <w:rsid w:val="00A45619"/>
    <w:rsid w:val="00AA5E6C"/>
    <w:rsid w:val="00AB0356"/>
    <w:rsid w:val="00AE5677"/>
    <w:rsid w:val="00AE658F"/>
    <w:rsid w:val="00AF2F78"/>
    <w:rsid w:val="00B239FA"/>
    <w:rsid w:val="00B443E3"/>
    <w:rsid w:val="00B52D55"/>
    <w:rsid w:val="00B8288C"/>
    <w:rsid w:val="00BE2E80"/>
    <w:rsid w:val="00BE5EDD"/>
    <w:rsid w:val="00BE6A1F"/>
    <w:rsid w:val="00C126C4"/>
    <w:rsid w:val="00C3106A"/>
    <w:rsid w:val="00C433C0"/>
    <w:rsid w:val="00C63EB5"/>
    <w:rsid w:val="00C958F9"/>
    <w:rsid w:val="00CC01E0"/>
    <w:rsid w:val="00CD5FEE"/>
    <w:rsid w:val="00CE60D2"/>
    <w:rsid w:val="00CE7431"/>
    <w:rsid w:val="00D0288A"/>
    <w:rsid w:val="00D17CAE"/>
    <w:rsid w:val="00D72A5D"/>
    <w:rsid w:val="00D97BEA"/>
    <w:rsid w:val="00DC629B"/>
    <w:rsid w:val="00DD28B9"/>
    <w:rsid w:val="00DF34E1"/>
    <w:rsid w:val="00E05BFF"/>
    <w:rsid w:val="00E262F1"/>
    <w:rsid w:val="00E3176A"/>
    <w:rsid w:val="00E54754"/>
    <w:rsid w:val="00E56BD3"/>
    <w:rsid w:val="00E71D14"/>
    <w:rsid w:val="00EC14AA"/>
    <w:rsid w:val="00EE1B25"/>
    <w:rsid w:val="00F17ABE"/>
    <w:rsid w:val="00F66597"/>
    <w:rsid w:val="00F675D0"/>
    <w:rsid w:val="00F8150C"/>
    <w:rsid w:val="00FA247B"/>
    <w:rsid w:val="00FE4574"/>
    <w:rsid w:val="00FF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docId w15:val="{341043D0-7FE7-4AC8-96E9-F721C8C01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customStyle="1" w:styleId="Artref10pt">
    <w:name w:val="Art_ref + 10 pt"/>
    <w:basedOn w:val="Artref"/>
    <w:rsid w:val="0071678E"/>
    <w:rPr>
      <w:color w:val="000000"/>
      <w:sz w:val="20"/>
    </w:rPr>
  </w:style>
  <w:style w:type="character" w:customStyle="1" w:styleId="hps">
    <w:name w:val="hps"/>
    <w:basedOn w:val="DefaultParagraphFont"/>
    <w:rsid w:val="005313EA"/>
  </w:style>
  <w:style w:type="paragraph" w:styleId="BalloonText">
    <w:name w:val="Balloon Text"/>
    <w:basedOn w:val="Normal"/>
    <w:link w:val="BalloonTextChar"/>
    <w:semiHidden/>
    <w:unhideWhenUsed/>
    <w:rsid w:val="00310D1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10D19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R15-WRC15-C-0071!!MSW-S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6215A-7B06-4EB8-A207-C8C8DB04EFF8}">
  <ds:schemaRefs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32a1a8c5-2265-4ebc-b7a0-2071e2c5c9bb"/>
    <ds:schemaRef ds:uri="http://schemas.microsoft.com/office/2006/metadata/properties"/>
    <ds:schemaRef ds:uri="http://schemas.microsoft.com/office/infopath/2007/PartnerControls"/>
    <ds:schemaRef ds:uri="996b2e75-67fd-4955-a3b0-5ab9934cb50b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2702D27-3051-4BCE-A584-475C7D463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1081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R15-WRC15-C-0071!!MSW-S</vt:lpstr>
    </vt:vector>
  </TitlesOfParts>
  <Manager>Secretaría General - Pool</Manager>
  <Company>Unión Internacional de Telecomunicaciones (UIT)</Company>
  <LinksUpToDate>false</LinksUpToDate>
  <CharactersWithSpaces>7093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R15-WRC15-C-0071!!MSW-S</dc:title>
  <dc:subject>Conferencia Mundial de Radiocomunicaciones - 2015</dc:subject>
  <dc:creator>Documents Proposals Manager (DPM)</dc:creator>
  <cp:keywords>DPM_v5.2015.10.15_prod</cp:keywords>
  <dc:description/>
  <cp:lastModifiedBy>Spanish</cp:lastModifiedBy>
  <cp:revision>3</cp:revision>
  <cp:lastPrinted>2015-10-21T07:57:00Z</cp:lastPrinted>
  <dcterms:created xsi:type="dcterms:W3CDTF">2015-11-11T18:09:00Z</dcterms:created>
  <dcterms:modified xsi:type="dcterms:W3CDTF">2015-11-11T18:10:00Z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