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971302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971302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971302" w:rsidTr="00971302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971302" w:rsidRPr="00BD6EF3" w:rsidRDefault="00971302" w:rsidP="00971302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971302" w:rsidRPr="00BD6EF3" w:rsidRDefault="00971302" w:rsidP="00971302">
            <w:pPr>
              <w:pStyle w:val="Adress"/>
              <w:framePr w:hSpace="0" w:wrap="auto" w:xAlign="left" w:yAlign="inline"/>
            </w:pPr>
          </w:p>
        </w:tc>
      </w:tr>
      <w:tr w:rsidR="00971302" w:rsidTr="00971302">
        <w:trPr>
          <w:cantSplit/>
        </w:trPr>
        <w:tc>
          <w:tcPr>
            <w:tcW w:w="6423" w:type="dxa"/>
          </w:tcPr>
          <w:p w:rsidR="00971302" w:rsidRPr="00DD5A5D" w:rsidRDefault="00DD5A5D" w:rsidP="007232A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before="20" w:after="20" w:line="260" w:lineRule="exact"/>
              <w:rPr>
                <w:rFonts w:ascii="Verdana Bold" w:hAnsi="Verdana Bold" w:cs="Traditional Arabic"/>
                <w:bCs/>
                <w:sz w:val="19"/>
                <w:szCs w:val="30"/>
                <w:lang w:bidi="ar-EG"/>
              </w:rPr>
            </w:pPr>
            <w:r w:rsidRPr="00DD5A5D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Pr="00DD5A5D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5</w:t>
            </w:r>
          </w:p>
        </w:tc>
        <w:tc>
          <w:tcPr>
            <w:tcW w:w="2966" w:type="dxa"/>
            <w:vAlign w:val="center"/>
          </w:tcPr>
          <w:p w:rsidR="00971302" w:rsidRPr="00DD5A5D" w:rsidRDefault="00971302" w:rsidP="00CA56C1">
            <w:pPr>
              <w:pStyle w:val="Adress"/>
              <w:framePr w:hSpace="0" w:wrap="auto" w:xAlign="left" w:yAlign="inline"/>
              <w:spacing w:before="20" w:after="20" w:line="260" w:lineRule="exact"/>
              <w:rPr>
                <w:rtl/>
              </w:rPr>
            </w:pPr>
            <w:r w:rsidRPr="00DD5A5D">
              <w:rPr>
                <w:rFonts w:hint="cs"/>
                <w:rtl/>
              </w:rPr>
              <w:t xml:space="preserve">المراجعة </w:t>
            </w:r>
            <w:r w:rsidR="00CA56C1">
              <w:t>2</w:t>
            </w:r>
            <w:r w:rsidR="00DD5A5D" w:rsidRPr="00DD5A5D">
              <w:br/>
            </w:r>
            <w:r w:rsidRPr="00DD5A5D">
              <w:rPr>
                <w:rFonts w:hint="cs"/>
                <w:rtl/>
              </w:rPr>
              <w:t>ل</w:t>
            </w:r>
            <w:r w:rsidRPr="00DD5A5D">
              <w:rPr>
                <w:rtl/>
              </w:rPr>
              <w:t xml:space="preserve">لوثيقة </w:t>
            </w:r>
            <w:r w:rsidRPr="00DD5A5D">
              <w:t>79-A</w:t>
            </w:r>
          </w:p>
        </w:tc>
      </w:tr>
      <w:tr w:rsidR="00971302" w:rsidTr="00971302">
        <w:trPr>
          <w:cantSplit/>
        </w:trPr>
        <w:tc>
          <w:tcPr>
            <w:tcW w:w="6423" w:type="dxa"/>
          </w:tcPr>
          <w:p w:rsidR="00971302" w:rsidRPr="00DD5A5D" w:rsidRDefault="00971302" w:rsidP="007232A0">
            <w:pPr>
              <w:pStyle w:val="Adress"/>
              <w:framePr w:hSpace="0" w:wrap="auto" w:xAlign="left" w:yAlign="inline"/>
              <w:spacing w:before="20" w:after="20" w:line="260" w:lineRule="exact"/>
              <w:rPr>
                <w:rtl/>
              </w:rPr>
            </w:pPr>
          </w:p>
        </w:tc>
        <w:tc>
          <w:tcPr>
            <w:tcW w:w="2966" w:type="dxa"/>
            <w:vAlign w:val="center"/>
          </w:tcPr>
          <w:p w:rsidR="00971302" w:rsidRPr="00DD5A5D" w:rsidRDefault="00CA56C1" w:rsidP="007232A0">
            <w:pPr>
              <w:pStyle w:val="Adress"/>
              <w:framePr w:hSpace="0" w:wrap="auto" w:xAlign="left" w:yAlign="inline"/>
              <w:spacing w:before="20" w:after="20" w:line="260" w:lineRule="exact"/>
              <w:rPr>
                <w:rtl/>
              </w:rPr>
            </w:pPr>
            <w:r>
              <w:rPr>
                <w:rFonts w:eastAsia="SimSun"/>
              </w:rPr>
              <w:t>13</w:t>
            </w:r>
            <w:r w:rsidRPr="00DD5A5D">
              <w:rPr>
                <w:rFonts w:eastAsia="SimSun"/>
                <w:rtl/>
              </w:rPr>
              <w:t xml:space="preserve"> </w:t>
            </w:r>
            <w:r w:rsidR="00971302" w:rsidRPr="00DD5A5D">
              <w:rPr>
                <w:rFonts w:eastAsia="SimSun" w:hint="cs"/>
                <w:rtl/>
              </w:rPr>
              <w:t>نوفمبر</w:t>
            </w:r>
            <w:r w:rsidR="00971302" w:rsidRPr="00DD5A5D">
              <w:rPr>
                <w:rFonts w:eastAsia="SimSun"/>
                <w:rtl/>
              </w:rPr>
              <w:t xml:space="preserve"> </w:t>
            </w:r>
            <w:r w:rsidR="00971302" w:rsidRPr="00DD5A5D">
              <w:rPr>
                <w:rFonts w:eastAsia="SimSun"/>
              </w:rPr>
              <w:t>2015</w:t>
            </w:r>
          </w:p>
        </w:tc>
      </w:tr>
      <w:tr w:rsidR="00971302" w:rsidTr="00971302">
        <w:trPr>
          <w:cantSplit/>
        </w:trPr>
        <w:tc>
          <w:tcPr>
            <w:tcW w:w="6423" w:type="dxa"/>
          </w:tcPr>
          <w:p w:rsidR="00971302" w:rsidRPr="00DD5A5D" w:rsidRDefault="00971302" w:rsidP="007232A0">
            <w:pPr>
              <w:pStyle w:val="Adress"/>
              <w:framePr w:hSpace="0" w:wrap="auto" w:xAlign="left" w:yAlign="inline"/>
              <w:spacing w:before="20" w:after="20" w:line="260" w:lineRule="exact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971302" w:rsidRPr="00DD5A5D" w:rsidRDefault="00971302" w:rsidP="007232A0">
            <w:pPr>
              <w:pStyle w:val="Adress"/>
              <w:framePr w:hSpace="0" w:wrap="auto" w:xAlign="left" w:yAlign="inline"/>
              <w:spacing w:before="20" w:after="20" w:line="260" w:lineRule="exact"/>
              <w:rPr>
                <w:rFonts w:eastAsia="SimSun" w:hint="eastAsia"/>
              </w:rPr>
            </w:pPr>
            <w:r w:rsidRPr="00DD5A5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971302">
        <w:trPr>
          <w:cantSplit/>
        </w:trPr>
        <w:tc>
          <w:tcPr>
            <w:tcW w:w="9389" w:type="dxa"/>
            <w:gridSpan w:val="2"/>
          </w:tcPr>
          <w:p w:rsidR="00764079" w:rsidRPr="00E621A3" w:rsidRDefault="00CA56C1" w:rsidP="00F63ED0">
            <w:pPr>
              <w:pStyle w:val="Source"/>
              <w:rPr>
                <w:rtl/>
              </w:rPr>
            </w:pPr>
            <w:r w:rsidRPr="00CA56C1">
              <w:rPr>
                <w:rtl/>
                <w:lang w:bidi="ar-SA"/>
              </w:rPr>
              <w:t>جمهورية ألمانيا الاتحادية/النمسا/بلجيكا/جمهورية كرواتيا/الدانمارك/</w:t>
            </w:r>
            <w:r w:rsidR="00F63ED0">
              <w:rPr>
                <w:rtl/>
                <w:lang w:bidi="ar-SA"/>
              </w:rPr>
              <w:br/>
            </w:r>
            <w:r w:rsidRPr="00CA56C1">
              <w:rPr>
                <w:rtl/>
                <w:lang w:bidi="ar-SA"/>
              </w:rPr>
              <w:t>جمهورية إستونيا/فرنسا/إيطاليا/جمهورية لاتفيا/إمارة ليختنشتاين/</w:t>
            </w:r>
            <w:r w:rsidR="00F63ED0">
              <w:rPr>
                <w:rtl/>
                <w:lang w:bidi="ar-SA"/>
              </w:rPr>
              <w:br/>
            </w:r>
            <w:r w:rsidRPr="00CA56C1">
              <w:rPr>
                <w:rtl/>
                <w:lang w:bidi="ar-SA"/>
              </w:rPr>
              <w:t xml:space="preserve">جمهورية ليتوانيا/مالطة/جمهورية بولندا/رومانيا/المملكة المتحدة لبريطانيا العظمى </w:t>
            </w:r>
            <w:proofErr w:type="spellStart"/>
            <w:r w:rsidRPr="00CA56C1">
              <w:rPr>
                <w:rtl/>
                <w:lang w:bidi="ar-SA"/>
              </w:rPr>
              <w:t>وأيرلندا</w:t>
            </w:r>
            <w:proofErr w:type="spellEnd"/>
            <w:r w:rsidRPr="00CA56C1">
              <w:rPr>
                <w:rtl/>
                <w:lang w:bidi="ar-SA"/>
              </w:rPr>
              <w:t xml:space="preserve"> الشمالية</w:t>
            </w:r>
            <w:r w:rsidR="00F63ED0">
              <w:rPr>
                <w:rFonts w:hint="cs"/>
                <w:rtl/>
                <w:lang w:bidi="ar-SA"/>
              </w:rPr>
              <w:t>/</w:t>
            </w:r>
            <w:r w:rsidR="00F63ED0" w:rsidRPr="00F63ED0">
              <w:rPr>
                <w:rFonts w:ascii="Trebuchet MS" w:hAnsi="Trebuchet MS"/>
                <w:b w:val="0"/>
                <w:bCs w:val="0"/>
                <w:snapToGrid/>
                <w:sz w:val="15"/>
                <w:szCs w:val="15"/>
                <w:rtl/>
                <w:lang w:bidi="ar-SA"/>
              </w:rPr>
              <w:t xml:space="preserve"> </w:t>
            </w:r>
            <w:r w:rsidR="00F63ED0" w:rsidRPr="00F63ED0">
              <w:rPr>
                <w:rtl/>
                <w:lang w:bidi="ar-SA"/>
              </w:rPr>
              <w:t>الاتحاد السويسري</w:t>
            </w:r>
          </w:p>
        </w:tc>
      </w:tr>
      <w:tr w:rsidR="00971302" w:rsidTr="00971302">
        <w:trPr>
          <w:cantSplit/>
        </w:trPr>
        <w:tc>
          <w:tcPr>
            <w:tcW w:w="9389" w:type="dxa"/>
            <w:gridSpan w:val="2"/>
          </w:tcPr>
          <w:p w:rsidR="00971302" w:rsidRPr="00BD6EF3" w:rsidRDefault="00971302" w:rsidP="00971302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971302">
        <w:trPr>
          <w:cantSplit/>
          <w:trHeight w:val="916"/>
        </w:trPr>
        <w:tc>
          <w:tcPr>
            <w:tcW w:w="9389" w:type="dxa"/>
            <w:gridSpan w:val="2"/>
          </w:tcPr>
          <w:p w:rsidR="00764079" w:rsidRPr="00CB089D" w:rsidRDefault="00764079" w:rsidP="00D44350">
            <w:pPr>
              <w:pStyle w:val="Title2"/>
              <w:rPr>
                <w:sz w:val="22"/>
                <w:szCs w:val="34"/>
                <w:rtl/>
              </w:rPr>
            </w:pPr>
          </w:p>
        </w:tc>
      </w:tr>
      <w:tr w:rsidR="00971302" w:rsidTr="00971302">
        <w:trPr>
          <w:cantSplit/>
        </w:trPr>
        <w:tc>
          <w:tcPr>
            <w:tcW w:w="9389" w:type="dxa"/>
            <w:gridSpan w:val="2"/>
          </w:tcPr>
          <w:p w:rsidR="00971302" w:rsidRPr="002919E1" w:rsidRDefault="00971302" w:rsidP="0097130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>
              <w:t>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971302" w:rsidRPr="005010E0" w:rsidRDefault="00971302" w:rsidP="00971302">
      <w:pPr>
        <w:pStyle w:val="Normalaftertitle"/>
        <w:rPr>
          <w:rtl/>
        </w:rPr>
      </w:pPr>
      <w:r w:rsidRPr="005010E0">
        <w:t>6.1</w:t>
      </w:r>
      <w:r w:rsidRPr="005010E0">
        <w:rPr>
          <w:rFonts w:hint="cs"/>
          <w:rtl/>
        </w:rPr>
        <w:tab/>
      </w:r>
      <w:r w:rsidRPr="005010E0">
        <w:rPr>
          <w:rtl/>
        </w:rPr>
        <w:t>النظر في إمكانية منح توزيعات أولية</w:t>
      </w:r>
      <w:r w:rsidRPr="005010E0">
        <w:rPr>
          <w:rFonts w:hint="cs"/>
          <w:rtl/>
        </w:rPr>
        <w:t xml:space="preserve"> </w:t>
      </w:r>
      <w:r w:rsidRPr="005010E0">
        <w:rPr>
          <w:rtl/>
        </w:rPr>
        <w:t xml:space="preserve">إضافية </w:t>
      </w:r>
      <w:r w:rsidRPr="005010E0">
        <w:rPr>
          <w:rFonts w:hint="cs"/>
          <w:rtl/>
        </w:rPr>
        <w:t>على النحو التالي:</w:t>
      </w:r>
    </w:p>
    <w:p w:rsidR="00971302" w:rsidRPr="007232A0" w:rsidRDefault="00971302" w:rsidP="00971302">
      <w:pPr>
        <w:rPr>
          <w:rtl/>
        </w:rPr>
      </w:pPr>
      <w:r w:rsidRPr="007232A0">
        <w:t>1.6.1</w:t>
      </w:r>
      <w:r w:rsidRPr="007232A0">
        <w:rPr>
          <w:rFonts w:hint="cs"/>
          <w:rtl/>
        </w:rPr>
        <w:tab/>
      </w:r>
      <w:r w:rsidRPr="007232A0">
        <w:rPr>
          <w:rtl/>
        </w:rPr>
        <w:t>للخدمة الثابتة الساتلية (أرض-فضاء</w:t>
      </w:r>
      <w:r w:rsidRPr="007232A0">
        <w:rPr>
          <w:rFonts w:hint="cs"/>
          <w:rtl/>
        </w:rPr>
        <w:t xml:space="preserve"> وفضاء-أرض</w:t>
      </w:r>
      <w:r w:rsidRPr="007232A0">
        <w:rPr>
          <w:rtl/>
        </w:rPr>
        <w:t xml:space="preserve">) </w:t>
      </w:r>
      <w:r w:rsidRPr="007232A0">
        <w:rPr>
          <w:rFonts w:hint="cs"/>
          <w:rtl/>
        </w:rPr>
        <w:t xml:space="preserve">بمقدار </w:t>
      </w:r>
      <w:r w:rsidRPr="007232A0">
        <w:t>MHz 250</w:t>
      </w:r>
      <w:r w:rsidRPr="007232A0">
        <w:rPr>
          <w:rFonts w:hint="cs"/>
          <w:rtl/>
        </w:rPr>
        <w:t xml:space="preserve"> في المدى بين </w:t>
      </w:r>
      <w:r w:rsidRPr="007232A0">
        <w:t>GHz 10</w:t>
      </w:r>
      <w:r w:rsidRPr="007232A0">
        <w:rPr>
          <w:rFonts w:hint="cs"/>
          <w:rtl/>
        </w:rPr>
        <w:t xml:space="preserve"> و</w:t>
      </w:r>
      <w:r w:rsidRPr="007232A0">
        <w:t>GHz 17</w:t>
      </w:r>
      <w:r w:rsidRPr="007232A0">
        <w:rPr>
          <w:rFonts w:hint="cs"/>
          <w:rtl/>
        </w:rPr>
        <w:t xml:space="preserve"> في الإقليم</w:t>
      </w:r>
      <w:r w:rsidRPr="007232A0">
        <w:rPr>
          <w:rFonts w:hint="eastAsia"/>
          <w:rtl/>
        </w:rPr>
        <w:t> </w:t>
      </w:r>
      <w:r w:rsidRPr="007232A0">
        <w:t>1</w:t>
      </w:r>
      <w:r w:rsidRPr="007232A0">
        <w:rPr>
          <w:rFonts w:hint="cs"/>
          <w:rtl/>
        </w:rPr>
        <w:t>؛</w:t>
      </w:r>
    </w:p>
    <w:p w:rsidR="00971302" w:rsidRPr="005010E0" w:rsidRDefault="00971302" w:rsidP="004D0B0F">
      <w:pPr>
        <w:rPr>
          <w:rtl/>
        </w:rPr>
      </w:pPr>
      <w:r w:rsidRPr="005010E0">
        <w:t>2.6.1</w:t>
      </w:r>
      <w:r w:rsidRPr="005010E0">
        <w:rPr>
          <w:rFonts w:hint="cs"/>
          <w:rtl/>
        </w:rPr>
        <w:tab/>
        <w:t>و</w:t>
      </w:r>
      <w:r w:rsidRPr="005010E0">
        <w:rPr>
          <w:rtl/>
        </w:rPr>
        <w:t xml:space="preserve">للخدمة الثابتة الساتلية (أرض-فضاء) </w:t>
      </w:r>
      <w:r w:rsidRPr="005010E0">
        <w:rPr>
          <w:rFonts w:hint="cs"/>
          <w:rtl/>
        </w:rPr>
        <w:t xml:space="preserve">بمقدار </w:t>
      </w:r>
      <w:r w:rsidRPr="005010E0">
        <w:t>MHz 250</w:t>
      </w:r>
      <w:r w:rsidRPr="005010E0">
        <w:rPr>
          <w:rFonts w:hint="cs"/>
          <w:rtl/>
        </w:rPr>
        <w:t xml:space="preserve"> في الإقليم </w:t>
      </w:r>
      <w:r w:rsidRPr="005010E0">
        <w:t>2</w:t>
      </w:r>
      <w:r w:rsidRPr="005010E0">
        <w:rPr>
          <w:rFonts w:hint="cs"/>
          <w:rtl/>
        </w:rPr>
        <w:t xml:space="preserve"> و</w:t>
      </w:r>
      <w:r w:rsidRPr="005010E0">
        <w:t>MHz 300</w:t>
      </w:r>
      <w:r w:rsidRPr="005010E0">
        <w:rPr>
          <w:rFonts w:hint="cs"/>
          <w:rtl/>
        </w:rPr>
        <w:t xml:space="preserve"> في الإقليم</w:t>
      </w:r>
      <w:r w:rsidR="004D0B0F">
        <w:rPr>
          <w:rFonts w:hint="eastAsia"/>
          <w:rtl/>
        </w:rPr>
        <w:t> </w:t>
      </w:r>
      <w:r w:rsidRPr="005010E0">
        <w:t>3</w:t>
      </w:r>
      <w:r w:rsidRPr="005010E0">
        <w:rPr>
          <w:rFonts w:hint="cs"/>
          <w:rtl/>
        </w:rPr>
        <w:t xml:space="preserve"> في المدى بين </w:t>
      </w:r>
      <w:r w:rsidRPr="005010E0">
        <w:t>GHz 13</w:t>
      </w:r>
      <w:r w:rsidRPr="005010E0">
        <w:rPr>
          <w:rFonts w:hint="cs"/>
          <w:rtl/>
        </w:rPr>
        <w:t xml:space="preserve"> و</w:t>
      </w:r>
      <w:r w:rsidRPr="005010E0">
        <w:t>GHz 17</w:t>
      </w:r>
      <w:r w:rsidRPr="005010E0">
        <w:rPr>
          <w:rFonts w:hint="cs"/>
          <w:rtl/>
        </w:rPr>
        <w:t>؛</w:t>
      </w:r>
    </w:p>
    <w:p w:rsidR="00971302" w:rsidRPr="005010E0" w:rsidRDefault="00971302" w:rsidP="00971302">
      <w:r w:rsidRPr="005010E0">
        <w:rPr>
          <w:rFonts w:hint="cs"/>
          <w:rtl/>
        </w:rPr>
        <w:t>و</w:t>
      </w:r>
      <w:r w:rsidRPr="005010E0">
        <w:rPr>
          <w:rtl/>
        </w:rPr>
        <w:t>إعادة النظر في </w:t>
      </w:r>
      <w:r w:rsidRPr="005010E0">
        <w:rPr>
          <w:rFonts w:hint="cs"/>
          <w:rtl/>
        </w:rPr>
        <w:t>الأحكام</w:t>
      </w:r>
      <w:r w:rsidRPr="005010E0">
        <w:rPr>
          <w:rtl/>
        </w:rPr>
        <w:t xml:space="preserve"> التنظيمية بشأن التوزيعات الحالية للخدمة الثابتة الساتلية في </w:t>
      </w:r>
      <w:r w:rsidRPr="005010E0">
        <w:rPr>
          <w:rFonts w:hint="cs"/>
          <w:rtl/>
        </w:rPr>
        <w:t>كل مدى، مع مراعاة نتائج دراسات قطاع الاتصالات الراديوية</w:t>
      </w:r>
      <w:r w:rsidRPr="005010E0">
        <w:rPr>
          <w:rtl/>
        </w:rPr>
        <w:t xml:space="preserve"> وفقاً للقرار</w:t>
      </w:r>
      <w:r w:rsidRPr="005010E0">
        <w:rPr>
          <w:rFonts w:hint="cs"/>
          <w:rtl/>
        </w:rPr>
        <w:t xml:space="preserve">ين </w:t>
      </w:r>
      <w:r w:rsidRPr="005010E0">
        <w:rPr>
          <w:b/>
          <w:bCs/>
        </w:rPr>
        <w:t>151 (WRC</w:t>
      </w:r>
      <w:r w:rsidRPr="005010E0">
        <w:rPr>
          <w:b/>
          <w:bCs/>
        </w:rPr>
        <w:noBreakHyphen/>
        <w:t>12)</w:t>
      </w:r>
      <w:r w:rsidRPr="005010E0">
        <w:rPr>
          <w:rFonts w:hint="cs"/>
          <w:rtl/>
        </w:rPr>
        <w:t xml:space="preserve"> و</w:t>
      </w:r>
      <w:r w:rsidRPr="005010E0">
        <w:rPr>
          <w:b/>
          <w:bCs/>
        </w:rPr>
        <w:t>152 (WRC</w:t>
      </w:r>
      <w:r w:rsidRPr="005010E0">
        <w:rPr>
          <w:b/>
          <w:bCs/>
        </w:rPr>
        <w:noBreakHyphen/>
        <w:t>12)</w:t>
      </w:r>
      <w:r w:rsidRPr="005010E0">
        <w:rPr>
          <w:rFonts w:hint="cs"/>
          <w:b/>
          <w:bCs/>
          <w:rtl/>
        </w:rPr>
        <w:t xml:space="preserve"> </w:t>
      </w:r>
      <w:r w:rsidRPr="005010E0">
        <w:rPr>
          <w:rFonts w:hint="cs"/>
          <w:rtl/>
        </w:rPr>
        <w:t>على التوالي؛</w:t>
      </w:r>
    </w:p>
    <w:p w:rsidR="00971302" w:rsidRDefault="00971302" w:rsidP="00971302">
      <w:pPr>
        <w:pStyle w:val="Headingb"/>
        <w:rPr>
          <w:rtl/>
        </w:rPr>
      </w:pPr>
      <w:r w:rsidRPr="00303A77">
        <w:rPr>
          <w:rFonts w:hint="cs"/>
          <w:rtl/>
        </w:rPr>
        <w:t>مقدمة</w:t>
      </w:r>
    </w:p>
    <w:p w:rsidR="00971302" w:rsidRDefault="00971302" w:rsidP="004D0B0F">
      <w:pPr>
        <w:rPr>
          <w:rtl/>
        </w:rPr>
      </w:pPr>
      <w:r>
        <w:rPr>
          <w:rFonts w:hint="cs"/>
          <w:rtl/>
        </w:rPr>
        <w:t xml:space="preserve">أجريت منذ عام </w:t>
      </w:r>
      <w:r>
        <w:t xml:space="preserve">2012 </w:t>
      </w:r>
      <w:r>
        <w:rPr>
          <w:rFonts w:hint="cs"/>
          <w:rtl/>
        </w:rPr>
        <w:t xml:space="preserve"> دراسات بشأن نطاقات التردد الممكنة لمنح توزيع أولي إضافي للخدمة الثابتة الساتلية في الاتجاه أرض</w:t>
      </w:r>
      <w:r w:rsidR="004D0B0F">
        <w:rPr>
          <w:rtl/>
        </w:rPr>
        <w:noBreakHyphen/>
      </w:r>
      <w:r>
        <w:rPr>
          <w:rFonts w:hint="cs"/>
          <w:rtl/>
        </w:rPr>
        <w:t xml:space="preserve">فضاء في مدى التردد </w:t>
      </w:r>
      <w:r w:rsidRPr="001A75C5">
        <w:t>10</w:t>
      </w:r>
      <w:r>
        <w:rPr>
          <w:rFonts w:hint="cs"/>
          <w:rtl/>
        </w:rPr>
        <w:t>-</w:t>
      </w:r>
      <w:r w:rsidRPr="001A75C5">
        <w:t>17</w:t>
      </w:r>
      <w:r w:rsidR="004D0B0F">
        <w:rPr>
          <w:rFonts w:hint="eastAsia"/>
          <w:rtl/>
        </w:rPr>
        <w:t> </w:t>
      </w:r>
      <w:r w:rsidRPr="001A75C5">
        <w:t>GHz</w:t>
      </w:r>
      <w:r>
        <w:rPr>
          <w:rFonts w:hint="cs"/>
          <w:rtl/>
        </w:rPr>
        <w:t xml:space="preserve"> </w:t>
      </w:r>
      <w:r w:rsidRPr="005010E0">
        <w:rPr>
          <w:rFonts w:hint="cs"/>
          <w:rtl/>
        </w:rPr>
        <w:t>في الإقليم</w:t>
      </w:r>
      <w:r w:rsidRPr="005010E0">
        <w:rPr>
          <w:rFonts w:hint="eastAsia"/>
          <w:rtl/>
        </w:rPr>
        <w:t> </w:t>
      </w:r>
      <w:r w:rsidRPr="005010E0">
        <w:t>1</w:t>
      </w:r>
      <w:r>
        <w:rPr>
          <w:rFonts w:hint="cs"/>
          <w:rtl/>
        </w:rPr>
        <w:t xml:space="preserve">، وفي مدى التردد </w:t>
      </w:r>
      <w:r w:rsidRPr="001A75C5">
        <w:t>1</w:t>
      </w:r>
      <w:r>
        <w:t>3</w:t>
      </w:r>
      <w:r>
        <w:rPr>
          <w:rFonts w:hint="cs"/>
          <w:rtl/>
        </w:rPr>
        <w:t>-</w:t>
      </w:r>
      <w:r w:rsidRPr="001A75C5">
        <w:t>17</w:t>
      </w:r>
      <w:r w:rsidR="004D0B0F">
        <w:rPr>
          <w:rFonts w:hint="eastAsia"/>
          <w:rtl/>
        </w:rPr>
        <w:t> </w:t>
      </w:r>
      <w:r w:rsidRPr="001A75C5">
        <w:t>GHz</w:t>
      </w:r>
      <w:r>
        <w:rPr>
          <w:rFonts w:hint="cs"/>
          <w:rtl/>
        </w:rPr>
        <w:t xml:space="preserve"> في الإقليمين</w:t>
      </w:r>
      <w:r w:rsidR="004D0B0F">
        <w:rPr>
          <w:rFonts w:hint="eastAsia"/>
          <w:rtl/>
        </w:rPr>
        <w:t> </w:t>
      </w:r>
      <w:r w:rsidRPr="005010E0">
        <w:t>2</w:t>
      </w:r>
      <w:r>
        <w:rPr>
          <w:rFonts w:hint="cs"/>
          <w:rtl/>
        </w:rPr>
        <w:t xml:space="preserve"> و </w:t>
      </w:r>
      <w:r w:rsidRPr="005010E0">
        <w:t>3</w:t>
      </w:r>
      <w:r>
        <w:rPr>
          <w:rFonts w:hint="cs"/>
          <w:rtl/>
        </w:rPr>
        <w:t xml:space="preserve">، وشملت هذه الدراسات اعتبارات تقنية وتشغيلية وتنظيمية بشأن هذا الموضوع، وفقاً للقرارين </w:t>
      </w:r>
      <w:r w:rsidRPr="00303A77">
        <w:t>151 (WRC</w:t>
      </w:r>
      <w:r w:rsidRPr="00303A77">
        <w:noBreakHyphen/>
        <w:t>12)</w:t>
      </w:r>
      <w:r w:rsidRPr="005010E0">
        <w:rPr>
          <w:rFonts w:hint="cs"/>
          <w:rtl/>
        </w:rPr>
        <w:t xml:space="preserve"> و</w:t>
      </w:r>
      <w:r w:rsidRPr="00303A77">
        <w:t>152 (WRC</w:t>
      </w:r>
      <w:r w:rsidRPr="00303A77">
        <w:noBreakHyphen/>
        <w:t>12)</w:t>
      </w:r>
      <w:r w:rsidR="004D0B0F">
        <w:rPr>
          <w:rFonts w:hint="cs"/>
          <w:rtl/>
        </w:rPr>
        <w:t>.</w:t>
      </w:r>
    </w:p>
    <w:p w:rsidR="00971302" w:rsidRDefault="00971302" w:rsidP="000D6D7D">
      <w:pPr>
        <w:rPr>
          <w:rtl/>
          <w:lang w:bidi="ar-EG"/>
        </w:rPr>
      </w:pPr>
      <w:r>
        <w:rPr>
          <w:rFonts w:hint="cs"/>
          <w:rtl/>
        </w:rPr>
        <w:t xml:space="preserve">واستناداً إلى نتائج دراسات قطاع الاتصالات الراديوية، ثبت أن التقاسم مع الخدمات القائمة في نطاقات التردد المدروسة يطرح </w:t>
      </w:r>
      <w:r w:rsidRPr="00076EE3">
        <w:rPr>
          <w:rFonts w:hint="cs"/>
          <w:spacing w:val="2"/>
          <w:rtl/>
        </w:rPr>
        <w:t xml:space="preserve">الكثير من المشاكل. ونتيجة لذلك، </w:t>
      </w:r>
      <w:r w:rsidRPr="00076EE3">
        <w:rPr>
          <w:spacing w:val="2"/>
          <w:rtl/>
        </w:rPr>
        <w:t>يعارض مؤيدو هذه المساهمة منح أي</w:t>
      </w:r>
      <w:r w:rsidRPr="00076EE3">
        <w:rPr>
          <w:rFonts w:hint="cs"/>
          <w:spacing w:val="2"/>
          <w:rtl/>
        </w:rPr>
        <w:t>ّ</w:t>
      </w:r>
      <w:r w:rsidRPr="00076EE3">
        <w:rPr>
          <w:spacing w:val="2"/>
          <w:rtl/>
        </w:rPr>
        <w:t xml:space="preserve"> توزيع إضافي </w:t>
      </w:r>
      <w:r w:rsidRPr="00076EE3">
        <w:rPr>
          <w:rFonts w:hint="cs"/>
          <w:spacing w:val="2"/>
          <w:rtl/>
        </w:rPr>
        <w:t>للخدمة الثابتة الساتلية في الاتجاه</w:t>
      </w:r>
      <w:r>
        <w:rPr>
          <w:rFonts w:hint="cs"/>
          <w:rtl/>
        </w:rPr>
        <w:t xml:space="preserve"> </w:t>
      </w:r>
      <w:r w:rsidRPr="005010E0">
        <w:rPr>
          <w:rtl/>
        </w:rPr>
        <w:t>أرض-فضاء</w:t>
      </w:r>
      <w:r>
        <w:rPr>
          <w:rFonts w:hint="cs"/>
          <w:rtl/>
        </w:rPr>
        <w:t xml:space="preserve"> في نطاقات التردد </w:t>
      </w:r>
      <w:r>
        <w:t>10</w:t>
      </w:r>
      <w:r>
        <w:rPr>
          <w:rFonts w:hint="cs"/>
          <w:rtl/>
        </w:rPr>
        <w:t>-</w:t>
      </w:r>
      <w:r>
        <w:t>10</w:t>
      </w:r>
      <w:r w:rsidR="000D6D7D">
        <w:t>,</w:t>
      </w:r>
      <w:r>
        <w:t>68</w:t>
      </w:r>
      <w:r>
        <w:rPr>
          <w:rFonts w:hint="cs"/>
          <w:rtl/>
        </w:rPr>
        <w:t xml:space="preserve"> </w:t>
      </w:r>
      <w:r>
        <w:t>GHz</w:t>
      </w:r>
      <w:r>
        <w:rPr>
          <w:rFonts w:hint="cs"/>
          <w:rtl/>
        </w:rPr>
        <w:t xml:space="preserve"> و</w:t>
      </w:r>
      <w:r>
        <w:t>13</w:t>
      </w:r>
      <w:r w:rsidR="000D6D7D">
        <w:t>,</w:t>
      </w:r>
      <w:r>
        <w:t>25</w:t>
      </w:r>
      <w:r>
        <w:rPr>
          <w:rFonts w:hint="cs"/>
          <w:rtl/>
        </w:rPr>
        <w:t>-</w:t>
      </w:r>
      <w:r>
        <w:t>13</w:t>
      </w:r>
      <w:r w:rsidR="000D6D7D">
        <w:t>,</w:t>
      </w:r>
      <w:r>
        <w:t>75</w:t>
      </w:r>
      <w:r>
        <w:rPr>
          <w:rFonts w:hint="cs"/>
          <w:rtl/>
        </w:rPr>
        <w:t xml:space="preserve"> </w:t>
      </w:r>
      <w:r>
        <w:t>GHz</w:t>
      </w:r>
      <w:r>
        <w:rPr>
          <w:rFonts w:hint="cs"/>
          <w:rtl/>
        </w:rPr>
        <w:t xml:space="preserve"> و</w:t>
      </w:r>
      <w:r>
        <w:t>14</w:t>
      </w:r>
      <w:r w:rsidR="000D6D7D">
        <w:t>,</w:t>
      </w:r>
      <w:r>
        <w:t>5</w:t>
      </w:r>
      <w:r>
        <w:rPr>
          <w:rFonts w:hint="cs"/>
          <w:rtl/>
        </w:rPr>
        <w:t>-</w:t>
      </w:r>
      <w:r>
        <w:t>15</w:t>
      </w:r>
      <w:r w:rsidR="000D6D7D">
        <w:t>,</w:t>
      </w:r>
      <w:r>
        <w:t>35</w:t>
      </w:r>
      <w:r>
        <w:rPr>
          <w:rFonts w:hint="cs"/>
          <w:rtl/>
        </w:rPr>
        <w:t xml:space="preserve"> </w:t>
      </w:r>
      <w:r>
        <w:t>GHz</w:t>
      </w:r>
      <w:r>
        <w:rPr>
          <w:rFonts w:hint="cs"/>
          <w:rtl/>
        </w:rPr>
        <w:t>.</w:t>
      </w:r>
    </w:p>
    <w:p w:rsidR="00971302" w:rsidRDefault="00971302" w:rsidP="007232A0">
      <w:pPr>
        <w:pStyle w:val="Headingb"/>
        <w:keepNext w:val="0"/>
        <w:rPr>
          <w:rtl/>
        </w:rPr>
      </w:pPr>
      <w:r w:rsidRPr="009E3506">
        <w:rPr>
          <w:rFonts w:hint="cs"/>
          <w:rtl/>
        </w:rPr>
        <w:lastRenderedPageBreak/>
        <w:t>المقترحات</w:t>
      </w:r>
    </w:p>
    <w:p w:rsidR="009F37C9" w:rsidRDefault="00E94A9A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94A9A" w:rsidP="009F37C9">
      <w:pPr>
        <w:pStyle w:val="Arttitle"/>
        <w:rPr>
          <w:b w:val="0"/>
          <w:rtl/>
        </w:rPr>
      </w:pPr>
      <w:bookmarkStart w:id="0" w:name="_Toc331055733"/>
      <w:r w:rsidRPr="007031A9">
        <w:rPr>
          <w:b w:val="0"/>
          <w:rtl/>
        </w:rPr>
        <w:t>توزيع نطاقات التردد</w:t>
      </w:r>
      <w:bookmarkEnd w:id="0"/>
    </w:p>
    <w:p w:rsidR="009F37C9" w:rsidRDefault="00E94A9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12CC4" w:rsidRDefault="00CA56C1">
      <w:pPr>
        <w:pStyle w:val="Proposal"/>
      </w:pPr>
      <w:r>
        <w:rPr>
          <w:u w:val="single"/>
        </w:rPr>
        <w:t>NOC</w:t>
      </w:r>
      <w:r>
        <w:tab/>
        <w:t>D/AUT/BEL/HRV/DNK/EST/F/I/LVA/LIE/LTU/MLT/POL/ROU/G</w:t>
      </w:r>
      <w:r w:rsidR="00F63ED0">
        <w:t>/SUI</w:t>
      </w:r>
      <w:r>
        <w:t>/79/1</w:t>
      </w:r>
    </w:p>
    <w:p w:rsidR="009F37C9" w:rsidRPr="00D75AC8" w:rsidRDefault="00E94A9A">
      <w:pPr>
        <w:pStyle w:val="Tabletitle"/>
        <w:spacing w:before="240"/>
        <w:rPr>
          <w:rtl/>
        </w:rPr>
        <w:pPrChange w:id="1" w:author="El Wardany, Samy" w:date="2011-08-01T14:42:00Z">
          <w:pPr/>
        </w:pPrChange>
      </w:pPr>
      <w:r w:rsidRPr="00D75AC8">
        <w:t>GHz 11,7-10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C6E4B" w:rsidTr="00AC6E4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E94A9A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AC6E4B" w:rsidTr="00AC6E4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E94A9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E94A9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E94A9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AC6E4B" w:rsidTr="00EB384F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E4B" w:rsidRPr="00E741AA" w:rsidRDefault="00E94A9A" w:rsidP="00AC78FC">
            <w:pPr>
              <w:pStyle w:val="TabletextS5"/>
            </w:pPr>
            <w:r w:rsidRPr="0048256A">
              <w:rPr>
                <w:rStyle w:val="Tablefreq"/>
              </w:rPr>
              <w:t>10,68-10,6</w:t>
            </w:r>
            <w:r w:rsidRPr="00E741AA">
              <w:rPr>
                <w:bCs/>
                <w:color w:val="000000"/>
                <w:rtl/>
              </w:rPr>
              <w:tab/>
            </w:r>
            <w:r w:rsidRPr="00E741AA">
              <w:rPr>
                <w:b/>
                <w:bCs/>
                <w:rtl/>
              </w:rPr>
              <w:t>استكشاف الأرض الساتلية</w:t>
            </w:r>
            <w:r w:rsidRPr="00E741AA">
              <w:rPr>
                <w:rtl/>
              </w:rPr>
              <w:t xml:space="preserve"> (منفعلة)</w:t>
            </w:r>
          </w:p>
          <w:p w:rsidR="00AC6E4B" w:rsidRPr="00E741AA" w:rsidRDefault="00E94A9A" w:rsidP="00AC78FC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AC6E4B" w:rsidRPr="00E741AA" w:rsidRDefault="00E94A9A" w:rsidP="00AC78FC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  <w:p w:rsidR="00AC6E4B" w:rsidRPr="00E741AA" w:rsidRDefault="00E94A9A" w:rsidP="00AC78FC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فلك راديوي</w:t>
            </w:r>
          </w:p>
          <w:p w:rsidR="00AC6E4B" w:rsidRPr="00E741AA" w:rsidRDefault="00E94A9A" w:rsidP="00AC78FC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أبحاث فضائية</w:t>
            </w:r>
            <w:r w:rsidRPr="00E741AA">
              <w:rPr>
                <w:rtl/>
              </w:rPr>
              <w:t xml:space="preserve"> (منفعلة)</w:t>
            </w:r>
          </w:p>
          <w:p w:rsidR="00AC6E4B" w:rsidRPr="00E741AA" w:rsidRDefault="00E94A9A" w:rsidP="00AC78FC">
            <w:pPr>
              <w:pStyle w:val="TabletextS5"/>
            </w:pPr>
            <w:r w:rsidRPr="00E741AA">
              <w:tab/>
            </w:r>
            <w:r w:rsidRPr="00E741AA">
              <w:rPr>
                <w:rtl/>
              </w:rPr>
              <w:t>تحديد راديوي للموقع</w:t>
            </w:r>
          </w:p>
          <w:p w:rsidR="00AC6E4B" w:rsidRPr="00E94A9A" w:rsidRDefault="00E94A9A" w:rsidP="00AC78FC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E94A9A">
              <w:rPr>
                <w:rStyle w:val="Artref"/>
                <w:b w:val="0"/>
                <w:bCs w:val="0"/>
              </w:rPr>
              <w:t>149.5</w:t>
            </w:r>
            <w:r w:rsidRPr="00E94A9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94A9A">
              <w:rPr>
                <w:rStyle w:val="Artref"/>
                <w:b w:val="0"/>
                <w:bCs w:val="0"/>
              </w:rPr>
              <w:t>482.5</w:t>
            </w:r>
            <w:r w:rsidRPr="00E94A9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94A9A">
              <w:rPr>
                <w:rStyle w:val="Artref"/>
                <w:b w:val="0"/>
                <w:bCs w:val="0"/>
              </w:rPr>
              <w:t>482A.5</w:t>
            </w:r>
          </w:p>
        </w:tc>
      </w:tr>
    </w:tbl>
    <w:p w:rsidR="00971302" w:rsidRPr="009E3506" w:rsidRDefault="00971302" w:rsidP="00971302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Pr="009E3506">
        <w:rPr>
          <w:rFonts w:hint="cs"/>
          <w:b w:val="0"/>
          <w:bCs w:val="0"/>
          <w:rtl/>
        </w:rPr>
        <w:t>تبين دراسات قطاع الاتصالات الراديوية أن التقاسم غير ممكن بين الخدمة الثابتة الساتلية (أرض-فضاء) وخدمة است</w:t>
      </w:r>
      <w:r w:rsidR="009354C3">
        <w:rPr>
          <w:rFonts w:hint="cs"/>
          <w:b w:val="0"/>
          <w:bCs w:val="0"/>
          <w:rtl/>
        </w:rPr>
        <w:t>كشاف الأرض الساتلية (المنفعلة).</w:t>
      </w:r>
    </w:p>
    <w:p w:rsidR="00312CC4" w:rsidRDefault="00CA56C1">
      <w:pPr>
        <w:pStyle w:val="Proposal"/>
      </w:pPr>
      <w:r>
        <w:rPr>
          <w:u w:val="single"/>
        </w:rPr>
        <w:t>NOC</w:t>
      </w:r>
      <w:r>
        <w:tab/>
        <w:t>D/AUT/BEL/HRV/DNK/EST/F/I/LVA/LIE/LTU/MLT/POL/ROU/G</w:t>
      </w:r>
      <w:r w:rsidR="00F63ED0">
        <w:t>/SUI</w:t>
      </w:r>
      <w:r>
        <w:t>/79/2</w:t>
      </w:r>
    </w:p>
    <w:p w:rsidR="009F37C9" w:rsidRPr="00151CDF" w:rsidRDefault="00E94A9A">
      <w:pPr>
        <w:pStyle w:val="Tabletitle"/>
        <w:spacing w:before="240"/>
        <w:rPr>
          <w:rtl/>
        </w:rPr>
        <w:pPrChange w:id="2" w:author="El Wardany, Samy" w:date="2011-08-01T14:42:00Z">
          <w:pPr/>
        </w:pPrChange>
      </w:pPr>
      <w:r w:rsidRPr="00151CDF">
        <w:t>GHz 14-11,7</w:t>
      </w:r>
    </w:p>
    <w:tbl>
      <w:tblPr>
        <w:bidiVisual/>
        <w:tblW w:w="93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087"/>
        <w:gridCol w:w="3146"/>
      </w:tblGrid>
      <w:tr w:rsidR="00776F8B" w:rsidTr="00CE456A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8B" w:rsidRDefault="00776F8B" w:rsidP="00CE456A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776F8B" w:rsidTr="00CE456A">
        <w:trPr>
          <w:cantSplit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8B" w:rsidRDefault="00776F8B" w:rsidP="00CE456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8B" w:rsidRDefault="00776F8B" w:rsidP="00CE456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8B" w:rsidRDefault="00776F8B" w:rsidP="00CE456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76F8B" w:rsidTr="00CE456A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8B" w:rsidRDefault="00776F8B" w:rsidP="00CE456A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13,4-13,25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ملاحة راديوية للطيران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 </w:t>
            </w:r>
            <w:r w:rsidRPr="0036458A">
              <w:rPr>
                <w:rStyle w:val="Artref"/>
                <w:b w:val="0"/>
                <w:bCs w:val="0"/>
              </w:rPr>
              <w:t>497.5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(نشيطة)</w:t>
            </w:r>
          </w:p>
          <w:p w:rsidR="00776F8B" w:rsidRPr="0036458A" w:rsidRDefault="00776F8B" w:rsidP="00CE456A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36458A">
              <w:rPr>
                <w:rStyle w:val="Artref"/>
                <w:b w:val="0"/>
                <w:bCs w:val="0"/>
              </w:rPr>
              <w:t>499.5  498A.5</w:t>
            </w:r>
          </w:p>
        </w:tc>
      </w:tr>
      <w:tr w:rsidR="00776F8B" w:rsidTr="00CE456A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8B" w:rsidRDefault="00776F8B" w:rsidP="00CE456A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13,75-13,4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402999">
              <w:rPr>
                <w:rStyle w:val="Artref"/>
              </w:rPr>
              <w:t xml:space="preserve"> </w:t>
            </w:r>
            <w:r w:rsidRPr="0036458A">
              <w:rPr>
                <w:rStyle w:val="Artref"/>
                <w:b w:val="0"/>
                <w:bCs w:val="0"/>
              </w:rPr>
              <w:t>501A.5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rtl/>
              </w:rPr>
              <w:t>ترددات معيارية وإشارات توقيت ساتلية (أرض-فضاء)</w:t>
            </w:r>
          </w:p>
          <w:p w:rsidR="00776F8B" w:rsidRPr="0036458A" w:rsidRDefault="00776F8B" w:rsidP="00CE456A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36458A">
              <w:rPr>
                <w:rStyle w:val="Artref"/>
                <w:b w:val="0"/>
                <w:bCs w:val="0"/>
              </w:rPr>
              <w:t>501B.5  501.5  500.5  499.5</w:t>
            </w:r>
          </w:p>
        </w:tc>
      </w:tr>
    </w:tbl>
    <w:p w:rsidR="00776F8B" w:rsidRDefault="00776F8B" w:rsidP="004D0B0F">
      <w:pPr>
        <w:pStyle w:val="Reasons"/>
        <w:rPr>
          <w:rtl/>
        </w:rPr>
      </w:pPr>
      <w:r>
        <w:rPr>
          <w:rtl/>
        </w:rPr>
        <w:t>الأسباب:</w:t>
      </w:r>
      <w:r>
        <w:rPr>
          <w:rtl/>
        </w:rPr>
        <w:tab/>
      </w:r>
      <w:r w:rsidRPr="009E3506">
        <w:rPr>
          <w:rFonts w:hint="cs"/>
          <w:b w:val="0"/>
          <w:bCs w:val="0"/>
          <w:rtl/>
        </w:rPr>
        <w:t>تبين دراسات قطاع الاتصالات الراديوية أن التقاسم غير ممكن بين الخدمة الثابتة الساتلية (أرض-فضاء) وخدمة استكشاف الأرض الساتلية (</w:t>
      </w:r>
      <w:r>
        <w:rPr>
          <w:rFonts w:hint="cs"/>
          <w:b w:val="0"/>
          <w:bCs w:val="0"/>
          <w:rtl/>
        </w:rPr>
        <w:t>النشيطة</w:t>
      </w:r>
      <w:r w:rsidRPr="009E3506">
        <w:rPr>
          <w:rFonts w:hint="cs"/>
          <w:b w:val="0"/>
          <w:bCs w:val="0"/>
          <w:rtl/>
        </w:rPr>
        <w:t>).</w:t>
      </w:r>
      <w:r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  <w:lang w:bidi="ar-EG"/>
        </w:rPr>
        <w:t>وجدير بالإشارة</w:t>
      </w:r>
      <w:r>
        <w:rPr>
          <w:rFonts w:hint="cs"/>
          <w:b w:val="0"/>
          <w:bCs w:val="0"/>
          <w:rtl/>
        </w:rPr>
        <w:t xml:space="preserve"> أن أوروبا تقترح منح توزيع للخدمة الثابتة الساتلية (فضاء-أرض) في</w:t>
      </w:r>
      <w:r>
        <w:rPr>
          <w:rFonts w:hint="eastAsia"/>
          <w:b w:val="0"/>
          <w:bCs w:val="0"/>
          <w:rtl/>
        </w:rPr>
        <w:t> </w:t>
      </w:r>
      <w:r w:rsidRPr="00BA546D">
        <w:rPr>
          <w:rFonts w:hint="cs"/>
          <w:b w:val="0"/>
          <w:bCs w:val="0"/>
          <w:rtl/>
        </w:rPr>
        <w:t xml:space="preserve">النطاق </w:t>
      </w:r>
      <w:r w:rsidRPr="00BA546D">
        <w:rPr>
          <w:b w:val="0"/>
          <w:bCs w:val="0"/>
        </w:rPr>
        <w:t>1</w:t>
      </w:r>
      <w:r w:rsidR="00BA546D" w:rsidRPr="00BA546D">
        <w:rPr>
          <w:b w:val="0"/>
          <w:bCs w:val="0"/>
        </w:rPr>
        <w:t>3,4</w:t>
      </w:r>
      <w:r w:rsidRPr="00BA546D">
        <w:rPr>
          <w:rFonts w:hint="cs"/>
          <w:b w:val="0"/>
          <w:bCs w:val="0"/>
          <w:rtl/>
        </w:rPr>
        <w:t>-</w:t>
      </w:r>
      <w:r w:rsidRPr="00BA546D">
        <w:rPr>
          <w:b w:val="0"/>
          <w:bCs w:val="0"/>
        </w:rPr>
        <w:t>1</w:t>
      </w:r>
      <w:r w:rsidR="00BA546D" w:rsidRPr="00BA546D">
        <w:rPr>
          <w:b w:val="0"/>
          <w:bCs w:val="0"/>
        </w:rPr>
        <w:t>3,6</w:t>
      </w:r>
      <w:r w:rsidRPr="00BA546D">
        <w:rPr>
          <w:b w:val="0"/>
          <w:bCs w:val="0"/>
        </w:rPr>
        <w:t>5</w:t>
      </w:r>
      <w:r w:rsidR="004D0B0F">
        <w:rPr>
          <w:rFonts w:hint="eastAsia"/>
          <w:b w:val="0"/>
          <w:bCs w:val="0"/>
          <w:rtl/>
        </w:rPr>
        <w:t> </w:t>
      </w:r>
      <w:r w:rsidRPr="00BA546D">
        <w:rPr>
          <w:b w:val="0"/>
          <w:bCs w:val="0"/>
        </w:rPr>
        <w:t>GHz</w:t>
      </w:r>
      <w:r>
        <w:rPr>
          <w:rFonts w:hint="cs"/>
          <w:rtl/>
        </w:rPr>
        <w:t>.</w:t>
      </w:r>
    </w:p>
    <w:p w:rsidR="00312CC4" w:rsidRPr="00F63ED0" w:rsidRDefault="00CA56C1">
      <w:pPr>
        <w:pStyle w:val="Proposal"/>
        <w:rPr>
          <w:lang w:val="fr-CH"/>
        </w:rPr>
      </w:pPr>
      <w:r w:rsidRPr="00F63ED0">
        <w:rPr>
          <w:u w:val="single"/>
          <w:lang w:val="fr-CH"/>
        </w:rPr>
        <w:lastRenderedPageBreak/>
        <w:t>NOC</w:t>
      </w:r>
      <w:r w:rsidRPr="00F63ED0">
        <w:rPr>
          <w:lang w:val="fr-CH"/>
        </w:rPr>
        <w:tab/>
        <w:t>D/AUT/BEL/HRV/DNK/EST/F/I/LVA/LIE/LTU/MLT/POL/ROU/G</w:t>
      </w:r>
      <w:r w:rsidR="00F63ED0">
        <w:t>/SUI</w:t>
      </w:r>
      <w:r w:rsidRPr="00F63ED0">
        <w:rPr>
          <w:lang w:val="fr-CH"/>
        </w:rPr>
        <w:t>/79/3</w:t>
      </w:r>
    </w:p>
    <w:p w:rsidR="009F37C9" w:rsidRDefault="00E94A9A">
      <w:pPr>
        <w:pStyle w:val="Tabletitle"/>
        <w:spacing w:before="240"/>
        <w:rPr>
          <w:rtl/>
        </w:rPr>
        <w:pPrChange w:id="3" w:author="El Wardany, Samy" w:date="2011-08-01T14:42:00Z">
          <w:pPr/>
        </w:pPrChange>
      </w:pPr>
      <w:r>
        <w:t>GHz 15,4-14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776F8B" w:rsidTr="00CE456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8B" w:rsidRDefault="00776F8B" w:rsidP="00CE456A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776F8B" w:rsidTr="00CE456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8B" w:rsidRDefault="00776F8B" w:rsidP="00CE456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8B" w:rsidRDefault="00776F8B" w:rsidP="00CE456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8B" w:rsidRDefault="00776F8B" w:rsidP="00CE456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76F8B" w:rsidTr="00CE456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F8B" w:rsidRDefault="00776F8B" w:rsidP="00CE456A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14,8-14,5</w:t>
            </w:r>
            <w:r>
              <w:rPr>
                <w:rStyle w:val="Tablefreq"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</w:t>
            </w:r>
            <w:r>
              <w:rPr>
                <w:rFonts w:hint="cs"/>
                <w:rtl/>
              </w:rPr>
              <w:t xml:space="preserve"> </w:t>
            </w:r>
            <w:r w:rsidRPr="004F0066">
              <w:rPr>
                <w:rStyle w:val="Artref"/>
                <w:b w:val="0"/>
                <w:bCs w:val="0"/>
              </w:rPr>
              <w:t>510.5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rtl/>
              </w:rPr>
              <w:t>أبحاث فضائية</w:t>
            </w:r>
          </w:p>
        </w:tc>
      </w:tr>
      <w:tr w:rsidR="00776F8B" w:rsidTr="00CE456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8B" w:rsidRDefault="00776F8B" w:rsidP="00CE456A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15,35-14,8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rtl/>
              </w:rPr>
              <w:t>أبحاث فضائية</w:t>
            </w:r>
          </w:p>
          <w:p w:rsidR="00776F8B" w:rsidRPr="004F0066" w:rsidRDefault="00776F8B" w:rsidP="00CE456A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4F0066">
              <w:rPr>
                <w:rStyle w:val="Artref"/>
                <w:b w:val="0"/>
                <w:bCs w:val="0"/>
              </w:rPr>
              <w:t>339.5</w:t>
            </w:r>
          </w:p>
        </w:tc>
      </w:tr>
      <w:tr w:rsidR="00776F8B" w:rsidTr="00CE456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8B" w:rsidRDefault="00776F8B" w:rsidP="00CE456A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15,4-15,35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فلك راديوي</w:t>
            </w:r>
          </w:p>
          <w:p w:rsidR="00776F8B" w:rsidRDefault="00776F8B" w:rsidP="00CE456A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:rsidR="00776F8B" w:rsidRPr="004F0066" w:rsidRDefault="00776F8B" w:rsidP="00CE456A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4F0066">
              <w:rPr>
                <w:rStyle w:val="Artref"/>
                <w:b w:val="0"/>
                <w:bCs w:val="0"/>
              </w:rPr>
              <w:t>511.5  340.5</w:t>
            </w:r>
          </w:p>
        </w:tc>
      </w:tr>
    </w:tbl>
    <w:p w:rsidR="00971302" w:rsidRDefault="00971302" w:rsidP="00971302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Pr="009E3506">
        <w:rPr>
          <w:rFonts w:hint="cs"/>
          <w:b w:val="0"/>
          <w:bCs w:val="0"/>
          <w:rtl/>
        </w:rPr>
        <w:t>تبين</w:t>
      </w:r>
      <w:bookmarkStart w:id="4" w:name="_GoBack"/>
      <w:bookmarkEnd w:id="4"/>
      <w:r w:rsidRPr="009E3506">
        <w:rPr>
          <w:rFonts w:hint="cs"/>
          <w:b w:val="0"/>
          <w:bCs w:val="0"/>
          <w:rtl/>
        </w:rPr>
        <w:t xml:space="preserve"> دراسات قطاع الاتصالات الراديوية أن التقاسم غير ممكن بين الخدمة الثابتة الساتلية (أرض-فضاء) و</w:t>
      </w:r>
      <w:r>
        <w:rPr>
          <w:rFonts w:hint="cs"/>
          <w:b w:val="0"/>
          <w:bCs w:val="0"/>
          <w:rtl/>
        </w:rPr>
        <w:t>ال</w:t>
      </w:r>
      <w:r w:rsidRPr="009E3506">
        <w:rPr>
          <w:rFonts w:hint="cs"/>
          <w:b w:val="0"/>
          <w:bCs w:val="0"/>
          <w:rtl/>
        </w:rPr>
        <w:t>خدمة</w:t>
      </w:r>
      <w:r>
        <w:rPr>
          <w:rFonts w:hint="cs"/>
          <w:b w:val="0"/>
          <w:bCs w:val="0"/>
          <w:rtl/>
        </w:rPr>
        <w:t xml:space="preserve"> المتنقلة وخدمة</w:t>
      </w:r>
      <w:r w:rsidRPr="009E3506">
        <w:rPr>
          <w:rFonts w:hint="cs"/>
          <w:b w:val="0"/>
          <w:bCs w:val="0"/>
          <w:rtl/>
        </w:rPr>
        <w:t xml:space="preserve"> استكشاف الأرض الساتلية (المنفعلة).</w:t>
      </w:r>
    </w:p>
    <w:p w:rsidR="00971302" w:rsidRPr="00971302" w:rsidRDefault="00971302" w:rsidP="00971302">
      <w:pPr>
        <w:spacing w:before="600"/>
        <w:jc w:val="center"/>
      </w:pPr>
      <w:r>
        <w:rPr>
          <w:rtl/>
        </w:rPr>
        <w:t>___________</w:t>
      </w:r>
    </w:p>
    <w:sectPr w:rsidR="00971302" w:rsidRPr="0097130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A56C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A56C1">
      <w:rPr>
        <w:noProof/>
        <w:lang w:val="es-ES"/>
      </w:rPr>
      <w:t>P:\ARA\ITU-R\CONF-R\CMR15\000\079REV2A.docx</w:t>
    </w:r>
    <w:r w:rsidRPr="00CB4300">
      <w:fldChar w:fldCharType="end"/>
    </w:r>
    <w:r w:rsidRPr="00CB4300">
      <w:rPr>
        <w:lang w:val="es-ES"/>
      </w:rPr>
      <w:t xml:space="preserve">  (</w:t>
    </w:r>
    <w:r w:rsidR="00CA56C1">
      <w:rPr>
        <w:lang w:val="es-ES"/>
      </w:rPr>
      <w:t>390154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63ED0">
      <w:rPr>
        <w:noProof/>
      </w:rPr>
      <w:t>13.11.15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A56C1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A56C1">
    <w:pPr>
      <w:pStyle w:val="Footer"/>
      <w:spacing w:before="0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A56C1">
      <w:rPr>
        <w:noProof/>
        <w:lang w:val="es-ES"/>
      </w:rPr>
      <w:t>P:\ARA\ITU-R\CONF-R\CMR15\000\079REV2A.docx</w:t>
    </w:r>
    <w:r>
      <w:fldChar w:fldCharType="end"/>
    </w:r>
    <w:r w:rsidRPr="00CB4300">
      <w:rPr>
        <w:lang w:val="es-ES"/>
      </w:rPr>
      <w:t xml:space="preserve">   (</w:t>
    </w:r>
    <w:r w:rsidR="00CA56C1">
      <w:rPr>
        <w:lang w:val="es-ES"/>
      </w:rPr>
      <w:t>390154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63ED0">
      <w:rPr>
        <w:noProof/>
      </w:rPr>
      <w:t>13.11.15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A56C1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CA56C1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63ED0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79(Rev.</w:t>
    </w:r>
    <w:r w:rsidR="00CA56C1">
      <w:rPr>
        <w:rStyle w:val="PageNumber"/>
      </w:rPr>
      <w:t>2</w:t>
    </w:r>
    <w:r w:rsidR="00554AE7">
      <w:rPr>
        <w:rStyle w:val="PageNumber"/>
      </w:rPr>
      <w:t>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6614"/>
    <w:rsid w:val="00075A3F"/>
    <w:rsid w:val="000A1B16"/>
    <w:rsid w:val="000B5404"/>
    <w:rsid w:val="000D1708"/>
    <w:rsid w:val="000D6D7D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237"/>
    <w:rsid w:val="001629EC"/>
    <w:rsid w:val="00167364"/>
    <w:rsid w:val="001903B2"/>
    <w:rsid w:val="001D0651"/>
    <w:rsid w:val="001E190C"/>
    <w:rsid w:val="001E54F6"/>
    <w:rsid w:val="001E5A8C"/>
    <w:rsid w:val="00201A0A"/>
    <w:rsid w:val="002075D4"/>
    <w:rsid w:val="00211B2A"/>
    <w:rsid w:val="00211F1B"/>
    <w:rsid w:val="002333A0"/>
    <w:rsid w:val="00251925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2CC4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0B0F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32A0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6F8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0B14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54C3"/>
    <w:rsid w:val="00951718"/>
    <w:rsid w:val="00954CCB"/>
    <w:rsid w:val="00960962"/>
    <w:rsid w:val="0097130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4075"/>
    <w:rsid w:val="00A870AD"/>
    <w:rsid w:val="00A90843"/>
    <w:rsid w:val="00A9645C"/>
    <w:rsid w:val="00AB2A33"/>
    <w:rsid w:val="00AC1275"/>
    <w:rsid w:val="00AC7395"/>
    <w:rsid w:val="00AC78FC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546D"/>
    <w:rsid w:val="00BA610A"/>
    <w:rsid w:val="00BA7D44"/>
    <w:rsid w:val="00BD6EF3"/>
    <w:rsid w:val="00BE69C3"/>
    <w:rsid w:val="00C1165E"/>
    <w:rsid w:val="00C22074"/>
    <w:rsid w:val="00C2377B"/>
    <w:rsid w:val="00C3565A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56C1"/>
    <w:rsid w:val="00CB089D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7690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5A5D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4A9A"/>
    <w:rsid w:val="00EA1B76"/>
    <w:rsid w:val="00EA77D7"/>
    <w:rsid w:val="00EC09B9"/>
    <w:rsid w:val="00ED048C"/>
    <w:rsid w:val="00ED4B29"/>
    <w:rsid w:val="00EE1ED7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3ED0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0DFFCEB-DD78-4F90-8C9C-8EC76B6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R15-WRC15-C-0079!R1!MSW-A</DPM_x0020_File_x0020_name>
    <DPM_x0020_Author xmlns="32a1a8c5-2265-4ebc-b7a0-2071e2c5c9bb" xsi:nil="false">Documents Proposals Manager (DPM)</DPM_x0020_Author>
    <DPM_x0020_Version xmlns="32a1a8c5-2265-4ebc-b7a0-2071e2c5c9bb" xsi:nil="false">DPM_v5.2015.11.102_prod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00D1-762B-4C71-BD97-6094F00F460D}">
  <ds:schemaRefs>
    <ds:schemaRef ds:uri="32a1a8c5-2265-4ebc-b7a0-2071e2c5c9b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9CF541-058A-4658-9C7A-E200835D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R15-WRC15-C-0079!R1!MSW-A</vt:lpstr>
    </vt:vector>
  </TitlesOfParts>
  <Manager>General Secretariat - Pool</Manager>
  <Company>International Telecommunication Union (ITU)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R15-WRC15-C-0079!R1!MSW-A</dc:title>
  <dc:creator>Documents Proposals Manager (DPM)</dc:creator>
  <cp:keywords>DPM_v5.2015.11.102_prod</cp:keywords>
  <cp:lastModifiedBy>Saad, Samuel</cp:lastModifiedBy>
  <cp:revision>6</cp:revision>
  <cp:lastPrinted>2011-11-07T13:53:00Z</cp:lastPrinted>
  <dcterms:created xsi:type="dcterms:W3CDTF">2015-11-13T14:18:00Z</dcterms:created>
  <dcterms:modified xsi:type="dcterms:W3CDTF">2015-11-13T14:57:00Z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