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2B0C66">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2B0C66">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D33338" w:rsidRDefault="00D33338" w:rsidP="00BA5BD0">
            <w:pPr>
              <w:spacing w:before="0"/>
              <w:rPr>
                <w:rFonts w:ascii="Verdana" w:eastAsia="SimSun" w:hAnsi="Verdana" w:cs="Traditional Arabic"/>
                <w:b/>
                <w:sz w:val="20"/>
                <w:lang w:val="en-US"/>
              </w:rPr>
            </w:pPr>
            <w:r>
              <w:rPr>
                <w:rFonts w:ascii="Verdana" w:eastAsia="SimSun" w:hAnsi="Verdana" w:cs="Traditional Arabic"/>
                <w:b/>
                <w:sz w:val="20"/>
                <w:lang w:val="en-US"/>
              </w:rPr>
              <w:t>Révision 1 au</w:t>
            </w:r>
          </w:p>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Document 81</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2B0C66">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2B0C66">
        <w:trPr>
          <w:cantSplit/>
        </w:trPr>
        <w:tc>
          <w:tcPr>
            <w:tcW w:w="10031" w:type="dxa"/>
            <w:gridSpan w:val="2"/>
          </w:tcPr>
          <w:p w:rsidR="00690C7B" w:rsidRPr="00323248" w:rsidRDefault="00690C7B" w:rsidP="00E37713">
            <w:pPr>
              <w:pStyle w:val="Source"/>
              <w:rPr>
                <w:lang w:val="fr-CH"/>
              </w:rPr>
            </w:pPr>
            <w:bookmarkStart w:id="2" w:name="dsource" w:colFirst="0" w:colLast="0"/>
            <w:r w:rsidRPr="00323248">
              <w:rPr>
                <w:lang w:val="fr-CH"/>
              </w:rPr>
              <w:t>Danemark/France/</w:t>
            </w:r>
            <w:r w:rsidR="00E37713" w:rsidRPr="00323248">
              <w:rPr>
                <w:lang w:val="fr-CH"/>
              </w:rPr>
              <w:t>Grèce</w:t>
            </w:r>
            <w:r w:rsidR="00E37713">
              <w:rPr>
                <w:lang w:val="fr-CH"/>
              </w:rPr>
              <w:t>/</w:t>
            </w:r>
            <w:r w:rsidRPr="00323248">
              <w:rPr>
                <w:lang w:val="fr-CH"/>
              </w:rPr>
              <w:t>Hongrie/Islande</w:t>
            </w:r>
            <w:r w:rsidR="00EA20BC" w:rsidRPr="00323248">
              <w:rPr>
                <w:lang w:val="fr-CH"/>
              </w:rPr>
              <w:t>/République tchèque</w:t>
            </w:r>
            <w:r w:rsidR="00EA20BC">
              <w:rPr>
                <w:lang w:val="fr-CH"/>
              </w:rPr>
              <w:t>/</w:t>
            </w:r>
            <w:r w:rsidR="00E37713" w:rsidRPr="00323248">
              <w:rPr>
                <w:lang w:val="fr-CH"/>
              </w:rPr>
              <w:t>Royaume-Uni de Grande-Bretagne et d'Irlande du Nord/</w:t>
            </w:r>
            <w:r w:rsidR="00EA20BC">
              <w:rPr>
                <w:lang w:val="fr-CH"/>
              </w:rPr>
              <w:t>Slovénie</w:t>
            </w:r>
            <w:r w:rsidR="00EA20BC" w:rsidRPr="00323248">
              <w:rPr>
                <w:lang w:val="fr-CH"/>
              </w:rPr>
              <w:t xml:space="preserve"> </w:t>
            </w:r>
            <w:r w:rsidRPr="00323248">
              <w:rPr>
                <w:lang w:val="fr-CH"/>
              </w:rPr>
              <w:t>(République de)/</w:t>
            </w:r>
            <w:r w:rsidR="00EA20BC">
              <w:rPr>
                <w:lang w:val="fr-CH"/>
              </w:rPr>
              <w:t>Suède/</w:t>
            </w:r>
            <w:r w:rsidRPr="00323248">
              <w:rPr>
                <w:lang w:val="fr-CH"/>
              </w:rPr>
              <w:t>Turquie</w:t>
            </w:r>
          </w:p>
        </w:tc>
      </w:tr>
      <w:tr w:rsidR="00690C7B" w:rsidRPr="002A6F8F" w:rsidTr="002B0C66">
        <w:trPr>
          <w:cantSplit/>
        </w:trPr>
        <w:tc>
          <w:tcPr>
            <w:tcW w:w="10031" w:type="dxa"/>
            <w:gridSpan w:val="2"/>
          </w:tcPr>
          <w:p w:rsidR="00690C7B" w:rsidRPr="00323248" w:rsidRDefault="00323248" w:rsidP="00690C7B">
            <w:pPr>
              <w:pStyle w:val="Title1"/>
              <w:rPr>
                <w:lang w:val="fr-CH"/>
              </w:rPr>
            </w:pPr>
            <w:bookmarkStart w:id="3" w:name="dtitle1" w:colFirst="0" w:colLast="0"/>
            <w:bookmarkEnd w:id="2"/>
            <w:r w:rsidRPr="00323248">
              <w:rPr>
                <w:lang w:val="fr-CH"/>
              </w:rPr>
              <w:t>P</w:t>
            </w:r>
            <w:r>
              <w:rPr>
                <w:lang w:val="fr-CH"/>
              </w:rPr>
              <w:t>ROPOSITIONS POUR LES TRAVAUX DE LA CONFÉRENCE</w:t>
            </w:r>
          </w:p>
        </w:tc>
      </w:tr>
      <w:tr w:rsidR="00690C7B" w:rsidRPr="002A6F8F" w:rsidTr="002B0C66">
        <w:trPr>
          <w:cantSplit/>
        </w:trPr>
        <w:tc>
          <w:tcPr>
            <w:tcW w:w="10031" w:type="dxa"/>
            <w:gridSpan w:val="2"/>
          </w:tcPr>
          <w:p w:rsidR="00690C7B" w:rsidRPr="00323248" w:rsidRDefault="00690C7B" w:rsidP="00690C7B">
            <w:pPr>
              <w:pStyle w:val="Title2"/>
              <w:rPr>
                <w:lang w:val="fr-CH"/>
              </w:rPr>
            </w:pPr>
            <w:bookmarkStart w:id="4" w:name="dtitle2" w:colFirst="0" w:colLast="0"/>
            <w:bookmarkEnd w:id="3"/>
          </w:p>
        </w:tc>
      </w:tr>
      <w:tr w:rsidR="00690C7B" w:rsidTr="002B0C66">
        <w:trPr>
          <w:cantSplit/>
        </w:trPr>
        <w:tc>
          <w:tcPr>
            <w:tcW w:w="10031" w:type="dxa"/>
            <w:gridSpan w:val="2"/>
          </w:tcPr>
          <w:p w:rsidR="00690C7B" w:rsidRDefault="00690C7B" w:rsidP="00690C7B">
            <w:pPr>
              <w:pStyle w:val="Agendaitem"/>
            </w:pPr>
            <w:bookmarkStart w:id="5" w:name="dtitle3" w:colFirst="0" w:colLast="0"/>
            <w:bookmarkEnd w:id="4"/>
            <w:r w:rsidRPr="006D4724">
              <w:t>Point 10 de l'ordre du jour</w:t>
            </w:r>
          </w:p>
        </w:tc>
      </w:tr>
    </w:tbl>
    <w:bookmarkEnd w:id="5"/>
    <w:p w:rsidR="002B0C66" w:rsidRPr="000F2DBF" w:rsidRDefault="000C641A" w:rsidP="002B0C66">
      <w:pPr>
        <w:rPr>
          <w:lang w:val="fr-CA"/>
        </w:rPr>
      </w:pPr>
      <w:r w:rsidRPr="000F2DBF">
        <w:rPr>
          <w:lang w:val="fr-CA"/>
        </w:rPr>
        <w:t>10</w:t>
      </w:r>
      <w:r w:rsidRPr="000F2DBF">
        <w:rPr>
          <w:lang w:val="fr-CA"/>
        </w:rPr>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p w:rsidR="003A583E" w:rsidRDefault="00323248" w:rsidP="00323248">
      <w:pPr>
        <w:pStyle w:val="Headingb"/>
      </w:pPr>
      <w:r>
        <w:t>Introduction</w:t>
      </w:r>
    </w:p>
    <w:p w:rsidR="00323248" w:rsidRDefault="00323248" w:rsidP="00C33BE0">
      <w:r w:rsidRPr="00A701FC">
        <w:rPr>
          <w:lang w:val="fr-CH"/>
        </w:rPr>
        <w:t xml:space="preserve">Aux termes du point </w:t>
      </w:r>
      <w:r>
        <w:rPr>
          <w:lang w:val="fr-CH"/>
        </w:rPr>
        <w:t>10</w:t>
      </w:r>
      <w:r w:rsidRPr="00A701FC">
        <w:rPr>
          <w:lang w:val="fr-CH"/>
        </w:rPr>
        <w:t xml:space="preserve"> de </w:t>
      </w:r>
      <w:r w:rsidR="00E61016">
        <w:rPr>
          <w:lang w:val="fr-CH"/>
        </w:rPr>
        <w:t xml:space="preserve">son </w:t>
      </w:r>
      <w:r w:rsidRPr="00A701FC">
        <w:rPr>
          <w:lang w:val="fr-CH"/>
        </w:rPr>
        <w:t xml:space="preserve">ordre du jour, </w:t>
      </w:r>
      <w:r w:rsidR="00E61016">
        <w:rPr>
          <w:lang w:val="fr-CH"/>
        </w:rPr>
        <w:t>la CMR</w:t>
      </w:r>
      <w:r w:rsidR="00C33BE0">
        <w:rPr>
          <w:lang w:val="fr-CH"/>
        </w:rPr>
        <w:noBreakHyphen/>
      </w:r>
      <w:r w:rsidR="00E61016">
        <w:rPr>
          <w:lang w:val="fr-CH"/>
        </w:rPr>
        <w:t>15 est chargée</w:t>
      </w:r>
      <w:r w:rsidRPr="00A701FC">
        <w:rPr>
          <w:lang w:val="fr-CH"/>
        </w:rPr>
        <w:t xml:space="preserve"> </w:t>
      </w:r>
      <w:r w:rsidR="00E61016">
        <w:rPr>
          <w:lang w:val="fr-CH"/>
        </w:rPr>
        <w:t>de</w:t>
      </w:r>
      <w:r w:rsidRPr="00A701FC">
        <w:rPr>
          <w:lang w:val="fr-CH"/>
        </w:rPr>
        <w:t xml:space="preserve"> </w:t>
      </w:r>
      <w:r w:rsidRPr="00E56EC0">
        <w:t>recommander au Conseil des points à inscrire à l</w:t>
      </w:r>
      <w:r>
        <w:t>'</w:t>
      </w:r>
      <w:r w:rsidRPr="00E56EC0">
        <w:t>ordre du jour de la CMR suivante et</w:t>
      </w:r>
      <w:r w:rsidR="00E33392">
        <w:t xml:space="preserve"> d'</w:t>
      </w:r>
      <w:r w:rsidRPr="00E56EC0">
        <w:t>exposer ses vues sur l</w:t>
      </w:r>
      <w:r>
        <w:t>'</w:t>
      </w:r>
      <w:r w:rsidRPr="00E56EC0">
        <w:t>ordre du jour préliminaire de la conférence ultérieure ainsi que sur des points éventuels à inscrire à l</w:t>
      </w:r>
      <w:r>
        <w:t>'</w:t>
      </w:r>
      <w:r w:rsidRPr="00E56EC0">
        <w:t xml:space="preserve">ordre du jour </w:t>
      </w:r>
      <w:r w:rsidRPr="00453B2B">
        <w:t>de conférences futures, com</w:t>
      </w:r>
      <w:r>
        <w:t xml:space="preserve">pte </w:t>
      </w:r>
      <w:r w:rsidR="00E33392">
        <w:t xml:space="preserve">tenu </w:t>
      </w:r>
      <w:r>
        <w:t>de la Résolution 808</w:t>
      </w:r>
      <w:r w:rsidRPr="00453B2B">
        <w:t> (CMR</w:t>
      </w:r>
      <w:r w:rsidRPr="00453B2B">
        <w:noBreakHyphen/>
      </w:r>
      <w:r>
        <w:t>12</w:t>
      </w:r>
      <w:r w:rsidRPr="00453B2B">
        <w:t>).</w:t>
      </w:r>
    </w:p>
    <w:p w:rsidR="00E33392" w:rsidRDefault="00E33392" w:rsidP="00C33BE0">
      <w:r>
        <w:t>Les administrations cosignataires de la présente contribution proposent d'inscrire à l'ordre du jour de la CMR</w:t>
      </w:r>
      <w:r w:rsidR="00C33BE0">
        <w:noBreakHyphen/>
      </w:r>
      <w:r>
        <w:t xml:space="preserve">19 un point qui vise à examiner les technologies de partage des fréquences, les mécanismes </w:t>
      </w:r>
      <w:r w:rsidR="008767C0">
        <w:t xml:space="preserve">et techniques d'atténuation des brouillages </w:t>
      </w:r>
      <w:r>
        <w:t xml:space="preserve">supplémentaires </w:t>
      </w:r>
      <w:r w:rsidR="008767C0">
        <w:t>pour le</w:t>
      </w:r>
      <w:r>
        <w:t xml:space="preserve"> partage dans la bande</w:t>
      </w:r>
      <w:r w:rsidR="008767C0">
        <w:t>,</w:t>
      </w:r>
      <w:r w:rsidR="00DD3C99">
        <w:t xml:space="preserve"> qui pourraient être appliqué</w:t>
      </w:r>
      <w:r>
        <w:t>s aux systèmes d'accès hertzien (WAS), réseaux locaux hertziens (RLAN)</w:t>
      </w:r>
      <w:r w:rsidR="00400219">
        <w:t xml:space="preserve"> compris</w:t>
      </w:r>
      <w:r>
        <w:t>, dans la gamme des 5 GHz.</w:t>
      </w:r>
    </w:p>
    <w:p w:rsidR="00E33392" w:rsidRDefault="00CA0D32" w:rsidP="006D71FC">
      <w:pPr>
        <w:rPr>
          <w:lang w:val="fr-CH"/>
        </w:rPr>
      </w:pPr>
      <w:r>
        <w:t xml:space="preserve">Au titre du point 1.1 de l'ordre du jour, le Groupe d'action mixte 4-5-6-7 a étudié le partage et la compatibilité entre les systèmes RLAN et les services exploités dans les bandes de fréquences </w:t>
      </w:r>
      <w:r w:rsidRPr="00CA0D32">
        <w:rPr>
          <w:lang w:val="fr-CH"/>
        </w:rPr>
        <w:t>5 350</w:t>
      </w:r>
      <w:r>
        <w:rPr>
          <w:lang w:val="fr-CH"/>
        </w:rPr>
        <w:noBreakHyphen/>
      </w:r>
      <w:r w:rsidRPr="00CA0D32">
        <w:rPr>
          <w:lang w:val="fr-CH"/>
        </w:rPr>
        <w:t xml:space="preserve">5 470 MHz </w:t>
      </w:r>
      <w:r>
        <w:rPr>
          <w:lang w:val="fr-CH"/>
        </w:rPr>
        <w:t>et</w:t>
      </w:r>
      <w:r w:rsidRPr="00CA0D32">
        <w:rPr>
          <w:lang w:val="fr-CH"/>
        </w:rPr>
        <w:t xml:space="preserve"> 5 725</w:t>
      </w:r>
      <w:r>
        <w:rPr>
          <w:lang w:val="fr-CH"/>
        </w:rPr>
        <w:noBreakHyphen/>
      </w:r>
      <w:r w:rsidRPr="00CA0D32">
        <w:rPr>
          <w:lang w:val="fr-CH"/>
        </w:rPr>
        <w:t>5 850 MHz</w:t>
      </w:r>
      <w:r>
        <w:rPr>
          <w:lang w:val="fr-CH"/>
        </w:rPr>
        <w:t xml:space="preserve"> et examiné un certain nombre de techniques d'atténuation des brouillages envisageables.</w:t>
      </w:r>
      <w:r w:rsidR="002F4774">
        <w:rPr>
          <w:lang w:val="fr-CH"/>
        </w:rPr>
        <w:t xml:space="preserve"> </w:t>
      </w:r>
      <w:r w:rsidR="00E61016">
        <w:rPr>
          <w:lang w:val="fr-CH"/>
        </w:rPr>
        <w:t>Le Groupe de travail 5A a lui aussi examiné d</w:t>
      </w:r>
      <w:r w:rsidR="002F4774">
        <w:rPr>
          <w:lang w:val="fr-CH"/>
        </w:rPr>
        <w:t xml:space="preserve">es mesures </w:t>
      </w:r>
      <w:r w:rsidR="006D71FC">
        <w:rPr>
          <w:lang w:val="fr-CH"/>
        </w:rPr>
        <w:t xml:space="preserve">supplémentaires </w:t>
      </w:r>
      <w:r w:rsidR="002F4774">
        <w:rPr>
          <w:lang w:val="fr-CH"/>
        </w:rPr>
        <w:t xml:space="preserve">d'atténuation des brouillages, mais </w:t>
      </w:r>
      <w:r w:rsidR="00CD4F65">
        <w:rPr>
          <w:lang w:val="fr-CH"/>
        </w:rPr>
        <w:t xml:space="preserve">n'a pas terminé </w:t>
      </w:r>
      <w:r w:rsidR="002F4774">
        <w:rPr>
          <w:lang w:val="fr-CH"/>
        </w:rPr>
        <w:t xml:space="preserve">les études </w:t>
      </w:r>
      <w:r w:rsidR="00CD4F65">
        <w:rPr>
          <w:lang w:val="fr-CH"/>
        </w:rPr>
        <w:t>menées à ce sujet</w:t>
      </w:r>
      <w:r w:rsidR="002F4774">
        <w:rPr>
          <w:lang w:val="fr-CH"/>
        </w:rPr>
        <w:t>.</w:t>
      </w:r>
    </w:p>
    <w:p w:rsidR="002F4774" w:rsidRDefault="002F4774" w:rsidP="00CD4F65">
      <w:r>
        <w:t xml:space="preserve">Les administrations favorables à l'adoption de ce point de l'ordre du jour estiment qu'il est nécessaire d'étendre la portée des études </w:t>
      </w:r>
      <w:r w:rsidR="00DD3C99">
        <w:t xml:space="preserve">de manière à </w:t>
      </w:r>
      <w:r>
        <w:t xml:space="preserve">englober la gamme de fréquences </w:t>
      </w:r>
      <w:r>
        <w:rPr>
          <w:lang w:val="fr-CH"/>
        </w:rPr>
        <w:t>5 150</w:t>
      </w:r>
      <w:r>
        <w:rPr>
          <w:lang w:val="fr-CH"/>
        </w:rPr>
        <w:noBreakHyphen/>
      </w:r>
      <w:r w:rsidRPr="002F4774">
        <w:rPr>
          <w:lang w:val="fr-CH"/>
        </w:rPr>
        <w:t>5 925 MHz.</w:t>
      </w:r>
      <w:r>
        <w:rPr>
          <w:lang w:val="fr-CH"/>
        </w:rPr>
        <w:t xml:space="preserve"> Cela supposerait de continuer les études relatives aux techniques d'atténuation des brouillages pour le partage dans la bande entre les systèmes WAS et les services exploités dans les bandes de fréquences </w:t>
      </w:r>
      <w:r w:rsidRPr="002F4774">
        <w:rPr>
          <w:lang w:val="fr-CH"/>
        </w:rPr>
        <w:t xml:space="preserve">5 350-5 470 MHz </w:t>
      </w:r>
      <w:r>
        <w:rPr>
          <w:lang w:val="fr-CH"/>
        </w:rPr>
        <w:t>et</w:t>
      </w:r>
      <w:r w:rsidRPr="002F4774">
        <w:rPr>
          <w:lang w:val="fr-CH"/>
        </w:rPr>
        <w:t xml:space="preserve"> 5 725-5 850 MHz</w:t>
      </w:r>
      <w:r>
        <w:rPr>
          <w:lang w:val="fr-CH"/>
        </w:rPr>
        <w:t>, ainsi que d'étudier les bandes 5</w:t>
      </w:r>
      <w:r w:rsidRPr="002F4774">
        <w:rPr>
          <w:lang w:val="fr-CH"/>
        </w:rPr>
        <w:t xml:space="preserve"> 150-5 350 MHz </w:t>
      </w:r>
      <w:r>
        <w:rPr>
          <w:lang w:val="fr-CH"/>
        </w:rPr>
        <w:t>et</w:t>
      </w:r>
      <w:r w:rsidRPr="002F4774">
        <w:rPr>
          <w:lang w:val="fr-CH"/>
        </w:rPr>
        <w:t xml:space="preserve"> 5 850-5 925 MHz</w:t>
      </w:r>
      <w:r>
        <w:rPr>
          <w:lang w:val="fr-CH"/>
        </w:rPr>
        <w:t xml:space="preserve"> dans l'optique de </w:t>
      </w:r>
      <w:r w:rsidR="00FC043B">
        <w:rPr>
          <w:lang w:val="fr-CH"/>
        </w:rPr>
        <w:t>leur utilisation éventuelle</w:t>
      </w:r>
      <w:r>
        <w:rPr>
          <w:lang w:val="fr-CH"/>
        </w:rPr>
        <w:t xml:space="preserve"> pour les </w:t>
      </w:r>
      <w:r>
        <w:rPr>
          <w:lang w:val="fr-CH"/>
        </w:rPr>
        <w:lastRenderedPageBreak/>
        <w:t>systèmes WAS (</w:t>
      </w:r>
      <w:r w:rsidR="008767C0">
        <w:rPr>
          <w:lang w:val="fr-CH"/>
        </w:rPr>
        <w:t xml:space="preserve">réseaux </w:t>
      </w:r>
      <w:r>
        <w:rPr>
          <w:lang w:val="fr-CH"/>
        </w:rPr>
        <w:t xml:space="preserve">RLAN compris) à l'extérieur des bâtiments dans le cadre des attributions </w:t>
      </w:r>
      <w:r w:rsidR="008A371D">
        <w:rPr>
          <w:lang w:val="fr-CH"/>
        </w:rPr>
        <w:t xml:space="preserve">existantes </w:t>
      </w:r>
      <w:r>
        <w:rPr>
          <w:lang w:val="fr-CH"/>
        </w:rPr>
        <w:t>au service mobile.</w:t>
      </w:r>
      <w:r w:rsidR="008A371D">
        <w:rPr>
          <w:lang w:val="fr-CH"/>
        </w:rPr>
        <w:t xml:space="preserve"> </w:t>
      </w:r>
    </w:p>
    <w:p w:rsidR="00323248" w:rsidRPr="00E33392" w:rsidRDefault="00323248" w:rsidP="008A371D">
      <w:pPr>
        <w:pStyle w:val="Headingb"/>
        <w:rPr>
          <w:lang w:val="en-US"/>
        </w:rPr>
      </w:pPr>
      <w:r w:rsidRPr="00E33392">
        <w:rPr>
          <w:lang w:val="en-US"/>
        </w:rPr>
        <w:t>Propositions</w:t>
      </w:r>
    </w:p>
    <w:p w:rsidR="00323248" w:rsidRPr="00E33392" w:rsidRDefault="00323248" w:rsidP="008A371D">
      <w:pPr>
        <w:rPr>
          <w:lang w:val="en-US"/>
        </w:rPr>
      </w:pPr>
    </w:p>
    <w:p w:rsidR="0015203F" w:rsidRPr="00E33392" w:rsidRDefault="0015203F">
      <w:pPr>
        <w:tabs>
          <w:tab w:val="clear" w:pos="1134"/>
          <w:tab w:val="clear" w:pos="1871"/>
          <w:tab w:val="clear" w:pos="2268"/>
        </w:tabs>
        <w:overflowPunct/>
        <w:autoSpaceDE/>
        <w:autoSpaceDN/>
        <w:adjustRightInd/>
        <w:spacing w:before="0"/>
        <w:textAlignment w:val="auto"/>
        <w:rPr>
          <w:lang w:val="en-US"/>
        </w:rPr>
      </w:pPr>
      <w:r w:rsidRPr="00E33392">
        <w:rPr>
          <w:lang w:val="en-US"/>
        </w:rPr>
        <w:br w:type="page"/>
      </w:r>
    </w:p>
    <w:p w:rsidR="009E1020" w:rsidRPr="00323248" w:rsidRDefault="000C641A" w:rsidP="00D33338">
      <w:pPr>
        <w:pStyle w:val="Proposal"/>
        <w:rPr>
          <w:lang w:val="en-US"/>
        </w:rPr>
      </w:pPr>
      <w:r w:rsidRPr="00323248">
        <w:rPr>
          <w:lang w:val="en-US"/>
        </w:rPr>
        <w:lastRenderedPageBreak/>
        <w:t>ADD</w:t>
      </w:r>
      <w:r w:rsidRPr="00323248">
        <w:rPr>
          <w:lang w:val="en-US"/>
        </w:rPr>
        <w:tab/>
        <w:t>DNK/F/G</w:t>
      </w:r>
      <w:r w:rsidR="00D33338">
        <w:rPr>
          <w:lang w:val="en-US"/>
        </w:rPr>
        <w:t>RC/</w:t>
      </w:r>
      <w:r w:rsidRPr="00323248">
        <w:rPr>
          <w:lang w:val="en-US"/>
        </w:rPr>
        <w:t>HNG/ISL/</w:t>
      </w:r>
      <w:r w:rsidR="00D33338" w:rsidRPr="00323248">
        <w:rPr>
          <w:lang w:val="en-US"/>
        </w:rPr>
        <w:t>CZE/</w:t>
      </w:r>
      <w:r w:rsidR="00D33338">
        <w:rPr>
          <w:lang w:val="en-US"/>
        </w:rPr>
        <w:t>G/</w:t>
      </w:r>
      <w:r w:rsidRPr="00323248">
        <w:rPr>
          <w:lang w:val="en-US"/>
        </w:rPr>
        <w:t>SVN/</w:t>
      </w:r>
      <w:r w:rsidR="00D33338">
        <w:rPr>
          <w:lang w:val="en-US"/>
        </w:rPr>
        <w:t>S/</w:t>
      </w:r>
      <w:r w:rsidRPr="00323248">
        <w:rPr>
          <w:lang w:val="en-US"/>
        </w:rPr>
        <w:t>TUR/81/1</w:t>
      </w:r>
    </w:p>
    <w:p w:rsidR="009E1020" w:rsidRDefault="000C641A" w:rsidP="00323248">
      <w:pPr>
        <w:pStyle w:val="ResNo"/>
      </w:pPr>
      <w:r>
        <w:t xml:space="preserve">Projet de nouvelle Résolution </w:t>
      </w:r>
      <w:r w:rsidR="00323248">
        <w:t>[81-a24] (CMR-15)</w:t>
      </w:r>
    </w:p>
    <w:p w:rsidR="00323248" w:rsidRPr="008A371D" w:rsidRDefault="008A371D" w:rsidP="00323248">
      <w:pPr>
        <w:pStyle w:val="Restitle"/>
        <w:spacing w:line="480" w:lineRule="auto"/>
        <w:rPr>
          <w:lang w:val="fr-CH"/>
        </w:rPr>
      </w:pPr>
      <w:r w:rsidRPr="008A371D">
        <w:rPr>
          <w:lang w:val="fr-CH"/>
        </w:rPr>
        <w:t>Ordre du jour de la Conférence mondiale des radiocommunications de 2019</w:t>
      </w:r>
    </w:p>
    <w:p w:rsidR="008A371D" w:rsidRPr="008A371D" w:rsidRDefault="00323248" w:rsidP="00DE4AEB">
      <w:pPr>
        <w:rPr>
          <w:lang w:val="fr-CH"/>
        </w:rPr>
      </w:pPr>
      <w:r w:rsidRPr="008A371D">
        <w:rPr>
          <w:lang w:val="fr-CH"/>
        </w:rPr>
        <w:t>1.[5 GHz]</w:t>
      </w:r>
      <w:r w:rsidRPr="008A371D">
        <w:rPr>
          <w:lang w:val="fr-CH"/>
        </w:rPr>
        <w:tab/>
      </w:r>
      <w:r w:rsidR="008A371D" w:rsidRPr="008A371D">
        <w:rPr>
          <w:lang w:val="fr-CH"/>
        </w:rPr>
        <w:t>examiner les techno</w:t>
      </w:r>
      <w:r w:rsidR="008A371D">
        <w:rPr>
          <w:lang w:val="fr-CH"/>
        </w:rPr>
        <w:t xml:space="preserve">logies de partage des fréquences, les mécanismes </w:t>
      </w:r>
      <w:r w:rsidR="008767C0">
        <w:rPr>
          <w:lang w:val="fr-CH"/>
        </w:rPr>
        <w:t xml:space="preserve">et techniques d'atténuation des brouillages </w:t>
      </w:r>
      <w:r w:rsidR="008A371D">
        <w:rPr>
          <w:lang w:val="fr-CH"/>
        </w:rPr>
        <w:t xml:space="preserve">supplémentaires </w:t>
      </w:r>
      <w:r w:rsidR="008767C0">
        <w:rPr>
          <w:lang w:val="fr-CH"/>
        </w:rPr>
        <w:t>pour le</w:t>
      </w:r>
      <w:r w:rsidR="008A371D">
        <w:rPr>
          <w:lang w:val="fr-CH"/>
        </w:rPr>
        <w:t xml:space="preserve"> partage dans la bande</w:t>
      </w:r>
      <w:r w:rsidR="008767C0">
        <w:rPr>
          <w:lang w:val="fr-CH"/>
        </w:rPr>
        <w:t>,</w:t>
      </w:r>
      <w:r w:rsidR="008A371D">
        <w:rPr>
          <w:lang w:val="fr-CH"/>
        </w:rPr>
        <w:t xml:space="preserve"> </w:t>
      </w:r>
      <w:r w:rsidR="008767C0">
        <w:rPr>
          <w:lang w:val="fr-CH"/>
        </w:rPr>
        <w:t>q</w:t>
      </w:r>
      <w:r w:rsidR="0092346B">
        <w:rPr>
          <w:lang w:val="fr-CH"/>
        </w:rPr>
        <w:t>ui pourraient être appliqués aux systèmes d'accès hertzien (WAS), réseaux locaux hertziens</w:t>
      </w:r>
      <w:r w:rsidR="00CD4F65">
        <w:rPr>
          <w:lang w:val="fr-CH"/>
        </w:rPr>
        <w:t xml:space="preserve"> </w:t>
      </w:r>
      <w:r w:rsidR="00400219">
        <w:rPr>
          <w:lang w:val="fr-CH"/>
        </w:rPr>
        <w:t>compris</w:t>
      </w:r>
      <w:r w:rsidR="0092346B">
        <w:rPr>
          <w:lang w:val="fr-CH"/>
        </w:rPr>
        <w:t xml:space="preserve">, dans la gamme des 5 GHz, et prendre les mesures appropriées, conformément au projet de nouvelle Résolution </w:t>
      </w:r>
      <w:r w:rsidR="0092346B" w:rsidRPr="0092346B">
        <w:rPr>
          <w:b/>
          <w:lang w:val="fr-CH"/>
        </w:rPr>
        <w:t>[81</w:t>
      </w:r>
      <w:r w:rsidR="0092346B">
        <w:rPr>
          <w:b/>
          <w:lang w:val="fr-CH"/>
        </w:rPr>
        <w:noBreakHyphen/>
      </w:r>
      <w:r w:rsidR="0092346B" w:rsidRPr="0092346B">
        <w:rPr>
          <w:b/>
          <w:lang w:val="fr-CH"/>
        </w:rPr>
        <w:t>B24-5GHz] (CMR-15)</w:t>
      </w:r>
      <w:r w:rsidR="0092346B" w:rsidRPr="0092346B">
        <w:rPr>
          <w:lang w:val="fr-CH"/>
        </w:rPr>
        <w:t>;</w:t>
      </w:r>
    </w:p>
    <w:p w:rsidR="008767C0" w:rsidRPr="008767C0" w:rsidRDefault="000C641A" w:rsidP="00E94F12">
      <w:pPr>
        <w:pStyle w:val="Reasons"/>
        <w:rPr>
          <w:lang w:val="fr-CH"/>
        </w:rPr>
      </w:pPr>
      <w:r w:rsidRPr="008767C0">
        <w:rPr>
          <w:b/>
          <w:lang w:val="fr-CH"/>
        </w:rPr>
        <w:t>Motifs:</w:t>
      </w:r>
      <w:r w:rsidRPr="008767C0">
        <w:rPr>
          <w:lang w:val="fr-CH"/>
        </w:rPr>
        <w:tab/>
      </w:r>
      <w:r w:rsidR="008767C0" w:rsidRPr="008767C0">
        <w:rPr>
          <w:lang w:val="fr-CH"/>
        </w:rPr>
        <w:t xml:space="preserve">Poursuivre les études existantes sur l'utilisation éventuelle des bandes de fréquences 5 350-5 470 MHz </w:t>
      </w:r>
      <w:r w:rsidR="008767C0">
        <w:rPr>
          <w:lang w:val="fr-CH"/>
        </w:rPr>
        <w:t>et</w:t>
      </w:r>
      <w:r w:rsidR="008767C0" w:rsidRPr="008767C0">
        <w:rPr>
          <w:lang w:val="fr-CH"/>
        </w:rPr>
        <w:t xml:space="preserve"> 5 725-5 850 MHz</w:t>
      </w:r>
      <w:r w:rsidR="008767C0">
        <w:rPr>
          <w:lang w:val="fr-CH"/>
        </w:rPr>
        <w:t xml:space="preserve"> pour les systèmes WAS (réseaux RLAN compris) dans le cadre d'une nouvelle attribution au service mobile, </w:t>
      </w:r>
      <w:r w:rsidR="00E94F12">
        <w:rPr>
          <w:lang w:val="fr-CH"/>
        </w:rPr>
        <w:t xml:space="preserve">en envisageant notamment </w:t>
      </w:r>
      <w:r w:rsidR="008767C0">
        <w:rPr>
          <w:lang w:val="fr-CH"/>
        </w:rPr>
        <w:t xml:space="preserve">de nouvelles études sur les techniques supplémentaires d'atténuation des brouillages </w:t>
      </w:r>
      <w:r w:rsidR="008A716B">
        <w:rPr>
          <w:lang w:val="fr-CH"/>
        </w:rPr>
        <w:t>éventuellement applicables</w:t>
      </w:r>
      <w:r w:rsidR="008767C0">
        <w:rPr>
          <w:lang w:val="fr-CH"/>
        </w:rPr>
        <w:t xml:space="preserve">, et étudier les bandes </w:t>
      </w:r>
      <w:r w:rsidR="008767C0" w:rsidRPr="008767C0">
        <w:rPr>
          <w:lang w:val="fr-CH"/>
        </w:rPr>
        <w:t xml:space="preserve">5 150-5 350 MHz </w:t>
      </w:r>
      <w:r w:rsidR="008767C0">
        <w:rPr>
          <w:lang w:val="fr-CH"/>
        </w:rPr>
        <w:t>et</w:t>
      </w:r>
      <w:r w:rsidR="008767C0" w:rsidRPr="008767C0">
        <w:rPr>
          <w:lang w:val="fr-CH"/>
        </w:rPr>
        <w:t xml:space="preserve"> 5 850-5 925 MHz</w:t>
      </w:r>
      <w:r w:rsidR="008767C0">
        <w:rPr>
          <w:lang w:val="fr-CH"/>
        </w:rPr>
        <w:t xml:space="preserve"> dans l'optique de </w:t>
      </w:r>
      <w:r w:rsidR="00FC043B">
        <w:rPr>
          <w:lang w:val="fr-CH"/>
        </w:rPr>
        <w:t>leur utilisation éventuelle</w:t>
      </w:r>
      <w:r w:rsidR="008767C0">
        <w:rPr>
          <w:lang w:val="fr-CH"/>
        </w:rPr>
        <w:t xml:space="preserve"> pour les systèmes WAS (réseaux RLAN compris) à l'extérieur des bâtiments dans le cadre des attributions existantes au service mobile, compte tenu de la nécessité </w:t>
      </w:r>
      <w:r w:rsidR="00E94F12">
        <w:rPr>
          <w:lang w:val="fr-CH"/>
        </w:rPr>
        <w:t>de protéger les</w:t>
      </w:r>
      <w:r w:rsidR="008767C0">
        <w:rPr>
          <w:lang w:val="fr-CH"/>
        </w:rPr>
        <w:t xml:space="preserve"> services existants.</w:t>
      </w:r>
    </w:p>
    <w:p w:rsidR="009E1020" w:rsidRPr="00E33392" w:rsidRDefault="000C641A" w:rsidP="00D33338">
      <w:pPr>
        <w:pStyle w:val="Proposal"/>
        <w:rPr>
          <w:lang w:val="en-US"/>
        </w:rPr>
      </w:pPr>
      <w:r w:rsidRPr="00E33392">
        <w:rPr>
          <w:lang w:val="en-US"/>
        </w:rPr>
        <w:t>ADD</w:t>
      </w:r>
      <w:r w:rsidRPr="00E33392">
        <w:rPr>
          <w:lang w:val="en-US"/>
        </w:rPr>
        <w:tab/>
      </w:r>
      <w:r w:rsidR="00D33338" w:rsidRPr="00323248">
        <w:rPr>
          <w:lang w:val="en-US"/>
        </w:rPr>
        <w:t>DNK/F/G</w:t>
      </w:r>
      <w:r w:rsidR="00D33338">
        <w:rPr>
          <w:lang w:val="en-US"/>
        </w:rPr>
        <w:t>RC/</w:t>
      </w:r>
      <w:r w:rsidR="00D33338" w:rsidRPr="00323248">
        <w:rPr>
          <w:lang w:val="en-US"/>
        </w:rPr>
        <w:t>HNG/ISL/CZE/</w:t>
      </w:r>
      <w:r w:rsidR="00D33338">
        <w:rPr>
          <w:lang w:val="en-US"/>
        </w:rPr>
        <w:t>G/</w:t>
      </w:r>
      <w:r w:rsidR="00D33338" w:rsidRPr="00323248">
        <w:rPr>
          <w:lang w:val="en-US"/>
        </w:rPr>
        <w:t>SVN/</w:t>
      </w:r>
      <w:r w:rsidR="00D33338">
        <w:rPr>
          <w:lang w:val="en-US"/>
        </w:rPr>
        <w:t>S/</w:t>
      </w:r>
      <w:r w:rsidR="00D33338" w:rsidRPr="00323248">
        <w:rPr>
          <w:lang w:val="en-US"/>
        </w:rPr>
        <w:t>TUR/</w:t>
      </w:r>
      <w:r w:rsidRPr="00E33392">
        <w:rPr>
          <w:lang w:val="en-US"/>
        </w:rPr>
        <w:t>81/2</w:t>
      </w:r>
    </w:p>
    <w:p w:rsidR="009E1020" w:rsidRDefault="000C641A" w:rsidP="00F159C7">
      <w:pPr>
        <w:pStyle w:val="ResNo"/>
      </w:pPr>
      <w:r>
        <w:t xml:space="preserve">Projet de nouvelle Résolution </w:t>
      </w:r>
      <w:r w:rsidR="00323248">
        <w:t xml:space="preserve">[81-B24-5GHz] (CMR-15) </w:t>
      </w:r>
    </w:p>
    <w:p w:rsidR="00F159C7" w:rsidRPr="00F159C7" w:rsidRDefault="00F159C7" w:rsidP="00400219">
      <w:pPr>
        <w:pStyle w:val="Restitle"/>
        <w:rPr>
          <w:lang w:val="fr-CH"/>
        </w:rPr>
      </w:pPr>
      <w:r w:rsidRPr="00F159C7">
        <w:rPr>
          <w:lang w:val="fr-CH"/>
        </w:rPr>
        <w:t xml:space="preserve">Etudes relatives aux technologies de partage des fréquences, </w:t>
      </w:r>
      <w:r>
        <w:rPr>
          <w:lang w:val="fr-CH"/>
        </w:rPr>
        <w:t xml:space="preserve">aux mécanismes et techniques d'atténuation des brouillages supplémentaires pour le partage </w:t>
      </w:r>
      <w:r w:rsidR="00400219">
        <w:rPr>
          <w:lang w:val="fr-CH"/>
        </w:rPr>
        <w:br/>
      </w:r>
      <w:r>
        <w:rPr>
          <w:lang w:val="fr-CH"/>
        </w:rPr>
        <w:t xml:space="preserve">dans la bande, applicables aux systèmes d'accès hertzien, réseaux </w:t>
      </w:r>
      <w:r w:rsidR="00400219">
        <w:rPr>
          <w:lang w:val="fr-CH"/>
        </w:rPr>
        <w:br/>
      </w:r>
      <w:r>
        <w:rPr>
          <w:lang w:val="fr-CH"/>
        </w:rPr>
        <w:t>locaux hertziens</w:t>
      </w:r>
      <w:r w:rsidR="00400219" w:rsidRPr="00400219">
        <w:rPr>
          <w:lang w:val="fr-CH"/>
        </w:rPr>
        <w:t xml:space="preserve"> </w:t>
      </w:r>
      <w:r w:rsidR="00400219">
        <w:rPr>
          <w:lang w:val="fr-CH"/>
        </w:rPr>
        <w:t>compris</w:t>
      </w:r>
      <w:r>
        <w:rPr>
          <w:lang w:val="fr-CH"/>
        </w:rPr>
        <w:t>, dans la gamme des 5 GHz</w:t>
      </w:r>
    </w:p>
    <w:p w:rsidR="009E1020" w:rsidRDefault="00960442" w:rsidP="00960442">
      <w:pPr>
        <w:pStyle w:val="Normalaftertitle"/>
        <w:rPr>
          <w:lang w:val="fr-CH"/>
        </w:rPr>
      </w:pPr>
      <w:r w:rsidRPr="00C4247A">
        <w:rPr>
          <w:lang w:val="fr-CH"/>
        </w:rPr>
        <w:t>La Conférence mondiale des radiocommunications (Genève, 20</w:t>
      </w:r>
      <w:r>
        <w:rPr>
          <w:lang w:val="fr-CH"/>
        </w:rPr>
        <w:t>15</w:t>
      </w:r>
      <w:r w:rsidRPr="00C4247A">
        <w:rPr>
          <w:lang w:val="fr-CH"/>
        </w:rPr>
        <w:t>),</w:t>
      </w:r>
    </w:p>
    <w:p w:rsidR="00960442" w:rsidRPr="00C33BE0" w:rsidRDefault="00960442" w:rsidP="00960442">
      <w:pPr>
        <w:pStyle w:val="Call"/>
      </w:pPr>
      <w:r w:rsidRPr="00C33BE0">
        <w:t>considérant</w:t>
      </w:r>
    </w:p>
    <w:p w:rsidR="00F159C7" w:rsidRPr="00264D76" w:rsidRDefault="00960442" w:rsidP="004338F3">
      <w:pPr>
        <w:rPr>
          <w:lang w:val="fr-CH"/>
        </w:rPr>
      </w:pPr>
      <w:r w:rsidRPr="00264D76">
        <w:rPr>
          <w:i/>
          <w:iCs/>
          <w:lang w:val="fr-CH"/>
        </w:rPr>
        <w:t>a)</w:t>
      </w:r>
      <w:r w:rsidRPr="00264D76">
        <w:rPr>
          <w:lang w:val="fr-CH"/>
        </w:rPr>
        <w:tab/>
      </w:r>
      <w:r w:rsidR="00F7604B" w:rsidRPr="00264D76">
        <w:rPr>
          <w:lang w:val="fr-CH"/>
        </w:rPr>
        <w:t xml:space="preserve">que la demande </w:t>
      </w:r>
      <w:r w:rsidR="00264D76">
        <w:rPr>
          <w:lang w:val="fr-CH"/>
        </w:rPr>
        <w:t xml:space="preserve">d'applications </w:t>
      </w:r>
      <w:r w:rsidR="00F7604B" w:rsidRPr="00264D76">
        <w:rPr>
          <w:lang w:val="fr-CH"/>
        </w:rPr>
        <w:t>de</w:t>
      </w:r>
      <w:r w:rsidR="00264D76">
        <w:rPr>
          <w:lang w:val="fr-CH"/>
        </w:rPr>
        <w:t>s</w:t>
      </w:r>
      <w:r w:rsidR="00F7604B" w:rsidRPr="00264D76">
        <w:rPr>
          <w:lang w:val="fr-CH"/>
        </w:rPr>
        <w:t xml:space="preserve"> sys</w:t>
      </w:r>
      <w:r w:rsidR="00264D76" w:rsidRPr="00264D76">
        <w:rPr>
          <w:lang w:val="fr-CH"/>
        </w:rPr>
        <w:t>tèmes d'accès hertzien (WAS) large bande</w:t>
      </w:r>
      <w:r w:rsidR="00264D76">
        <w:rPr>
          <w:lang w:val="fr-CH"/>
        </w:rPr>
        <w:t xml:space="preserve">, </w:t>
      </w:r>
      <w:r w:rsidR="00264D76" w:rsidRPr="00264D76">
        <w:rPr>
          <w:lang w:val="fr-CH"/>
        </w:rPr>
        <w:t>résea</w:t>
      </w:r>
      <w:r w:rsidR="00264D76">
        <w:rPr>
          <w:lang w:val="fr-CH"/>
        </w:rPr>
        <w:t>u</w:t>
      </w:r>
      <w:r w:rsidR="00264D76" w:rsidRPr="00264D76">
        <w:rPr>
          <w:lang w:val="fr-CH"/>
        </w:rPr>
        <w:t xml:space="preserve">x </w:t>
      </w:r>
      <w:r w:rsidR="00264D76">
        <w:rPr>
          <w:lang w:val="fr-CH"/>
        </w:rPr>
        <w:t>locaux</w:t>
      </w:r>
      <w:r w:rsidR="00264D76" w:rsidRPr="00264D76">
        <w:rPr>
          <w:lang w:val="fr-CH"/>
        </w:rPr>
        <w:t xml:space="preserve"> </w:t>
      </w:r>
      <w:r w:rsidR="00264D76">
        <w:rPr>
          <w:lang w:val="fr-CH"/>
        </w:rPr>
        <w:t>hertziens (RLAN)</w:t>
      </w:r>
      <w:r w:rsidR="004338F3">
        <w:rPr>
          <w:lang w:val="fr-CH"/>
        </w:rPr>
        <w:t xml:space="preserve"> compris</w:t>
      </w:r>
      <w:r w:rsidR="00264D76">
        <w:rPr>
          <w:lang w:val="fr-CH"/>
        </w:rPr>
        <w:t>, munies de fonctionnalités multimédias a considérablement augmenté;</w:t>
      </w:r>
    </w:p>
    <w:p w:rsidR="00960442" w:rsidRDefault="00960442" w:rsidP="006D71FC">
      <w:pPr>
        <w:rPr>
          <w:lang w:val="fr-CH"/>
        </w:rPr>
      </w:pPr>
      <w:r w:rsidRPr="00960442">
        <w:rPr>
          <w:rStyle w:val="BRNormal"/>
          <w:i/>
          <w:iCs/>
          <w:lang w:val="fr-CH"/>
        </w:rPr>
        <w:t>b)</w:t>
      </w:r>
      <w:r w:rsidRPr="00960442">
        <w:rPr>
          <w:rStyle w:val="BRNormal"/>
          <w:i/>
          <w:iCs/>
          <w:lang w:val="fr-CH"/>
        </w:rPr>
        <w:tab/>
      </w:r>
      <w:r w:rsidRPr="004373ED">
        <w:rPr>
          <w:lang w:val="fr-CH"/>
        </w:rPr>
        <w:t xml:space="preserve">que, dans tous les pays où </w:t>
      </w:r>
      <w:r w:rsidR="00264D76">
        <w:rPr>
          <w:lang w:val="fr-CH"/>
        </w:rPr>
        <w:t xml:space="preserve">des applications </w:t>
      </w:r>
      <w:r w:rsidRPr="004373ED">
        <w:rPr>
          <w:lang w:val="fr-CH"/>
        </w:rPr>
        <w:t xml:space="preserve">des </w:t>
      </w:r>
      <w:r w:rsidR="00264D76">
        <w:rPr>
          <w:lang w:val="fr-CH"/>
        </w:rPr>
        <w:t>systè</w:t>
      </w:r>
      <w:r w:rsidR="0064436C">
        <w:rPr>
          <w:lang w:val="fr-CH"/>
        </w:rPr>
        <w:t xml:space="preserve">mes WAS large bande, </w:t>
      </w:r>
      <w:r w:rsidR="00400219">
        <w:rPr>
          <w:lang w:val="fr-CH"/>
        </w:rPr>
        <w:t>réseaux RLAN compris</w:t>
      </w:r>
      <w:r w:rsidR="00264D76">
        <w:rPr>
          <w:lang w:val="fr-CH"/>
        </w:rPr>
        <w:t>,</w:t>
      </w:r>
      <w:r w:rsidRPr="004373ED">
        <w:rPr>
          <w:lang w:val="fr-CH"/>
        </w:rPr>
        <w:t xml:space="preserve"> sont déployé</w:t>
      </w:r>
      <w:r w:rsidR="00264D76">
        <w:rPr>
          <w:lang w:val="fr-CH"/>
        </w:rPr>
        <w:t>e</w:t>
      </w:r>
      <w:r w:rsidRPr="004373ED">
        <w:rPr>
          <w:lang w:val="fr-CH"/>
        </w:rPr>
        <w:t>s, on observe une augmentation constante et importante du nombre d</w:t>
      </w:r>
      <w:r>
        <w:rPr>
          <w:lang w:val="fr-CH"/>
        </w:rPr>
        <w:t>'</w:t>
      </w:r>
      <w:r w:rsidRPr="004373ED">
        <w:rPr>
          <w:lang w:val="fr-CH"/>
        </w:rPr>
        <w:t>utilisateurs de ces systèmes ainsi que du volume et du débit des données acheminées, augmentati</w:t>
      </w:r>
      <w:r>
        <w:rPr>
          <w:lang w:val="fr-CH"/>
        </w:rPr>
        <w:t>o</w:t>
      </w:r>
      <w:r w:rsidRPr="004373ED">
        <w:rPr>
          <w:lang w:val="fr-CH"/>
        </w:rPr>
        <w:t xml:space="preserve">n </w:t>
      </w:r>
      <w:r w:rsidR="00E94F12">
        <w:rPr>
          <w:lang w:val="fr-CH"/>
        </w:rPr>
        <w:t>liée</w:t>
      </w:r>
      <w:r>
        <w:rPr>
          <w:lang w:val="fr-CH"/>
        </w:rPr>
        <w:t xml:space="preserve"> essentiellement, dans </w:t>
      </w:r>
      <w:r w:rsidR="006D71FC">
        <w:rPr>
          <w:lang w:val="fr-CH"/>
        </w:rPr>
        <w:t>le second</w:t>
      </w:r>
      <w:r>
        <w:rPr>
          <w:lang w:val="fr-CH"/>
        </w:rPr>
        <w:t xml:space="preserve"> cas, aux contenus audiovisuels</w:t>
      </w:r>
      <w:r w:rsidRPr="004373ED">
        <w:rPr>
          <w:lang w:val="fr-CH"/>
        </w:rPr>
        <w:t>;</w:t>
      </w:r>
    </w:p>
    <w:p w:rsidR="00960442" w:rsidRDefault="00960442" w:rsidP="00E94F12">
      <w:pPr>
        <w:rPr>
          <w:lang w:val="fr-CH"/>
        </w:rPr>
      </w:pPr>
      <w:r>
        <w:rPr>
          <w:i/>
          <w:iCs/>
          <w:lang w:val="fr-CH"/>
        </w:rPr>
        <w:t>c)</w:t>
      </w:r>
      <w:r>
        <w:rPr>
          <w:i/>
          <w:iCs/>
          <w:lang w:val="fr-CH"/>
        </w:rPr>
        <w:tab/>
      </w:r>
      <w:r w:rsidRPr="003F7CEF">
        <w:rPr>
          <w:lang w:val="fr-CH"/>
        </w:rPr>
        <w:t>que le</w:t>
      </w:r>
      <w:r>
        <w:rPr>
          <w:lang w:val="fr-CH"/>
        </w:rPr>
        <w:t>s</w:t>
      </w:r>
      <w:r w:rsidR="00264D76">
        <w:rPr>
          <w:lang w:val="fr-CH"/>
        </w:rPr>
        <w:t xml:space="preserve"> applications des</w:t>
      </w:r>
      <w:r w:rsidRPr="003F7CEF">
        <w:rPr>
          <w:lang w:val="fr-CH"/>
        </w:rPr>
        <w:t xml:space="preserve"> système</w:t>
      </w:r>
      <w:r>
        <w:rPr>
          <w:lang w:val="fr-CH"/>
        </w:rPr>
        <w:t>s</w:t>
      </w:r>
      <w:r w:rsidRPr="003F7CEF">
        <w:rPr>
          <w:lang w:val="fr-CH"/>
        </w:rPr>
        <w:t xml:space="preserve"> </w:t>
      </w:r>
      <w:r w:rsidR="0064436C">
        <w:rPr>
          <w:lang w:val="fr-CH"/>
        </w:rPr>
        <w:t>WAS</w:t>
      </w:r>
      <w:r w:rsidR="006D669A">
        <w:rPr>
          <w:lang w:val="fr-CH"/>
        </w:rPr>
        <w:t xml:space="preserve"> large bande</w:t>
      </w:r>
      <w:r w:rsidR="0064436C">
        <w:rPr>
          <w:lang w:val="fr-CH"/>
        </w:rPr>
        <w:t xml:space="preserve">, </w:t>
      </w:r>
      <w:r w:rsidR="00400219">
        <w:rPr>
          <w:lang w:val="fr-CH"/>
        </w:rPr>
        <w:t>réseaux RLAN compris</w:t>
      </w:r>
      <w:r w:rsidR="00264D76">
        <w:rPr>
          <w:lang w:val="fr-CH"/>
        </w:rPr>
        <w:t>,</w:t>
      </w:r>
      <w:r w:rsidRPr="003F7CEF">
        <w:rPr>
          <w:lang w:val="fr-CH"/>
        </w:rPr>
        <w:t xml:space="preserve"> </w:t>
      </w:r>
      <w:r w:rsidR="00264D76">
        <w:rPr>
          <w:lang w:val="fr-CH"/>
        </w:rPr>
        <w:t>co</w:t>
      </w:r>
      <w:r w:rsidRPr="003F7CEF">
        <w:rPr>
          <w:lang w:val="fr-CH"/>
        </w:rPr>
        <w:t>ntribuent au développement</w:t>
      </w:r>
      <w:r>
        <w:rPr>
          <w:lang w:val="fr-CH"/>
        </w:rPr>
        <w:t xml:space="preserve"> socio-économique </w:t>
      </w:r>
      <w:r w:rsidRPr="003F7CEF">
        <w:rPr>
          <w:lang w:val="fr-CH"/>
        </w:rPr>
        <w:t>mondial</w:t>
      </w:r>
      <w:r>
        <w:rPr>
          <w:lang w:val="fr-CH"/>
        </w:rPr>
        <w:t>,</w:t>
      </w:r>
      <w:r w:rsidRPr="003F7CEF">
        <w:rPr>
          <w:lang w:val="fr-CH"/>
        </w:rPr>
        <w:t xml:space="preserve"> dans la mesure o</w:t>
      </w:r>
      <w:r w:rsidR="002B0C66">
        <w:rPr>
          <w:lang w:val="fr-CH"/>
        </w:rPr>
        <w:t>ù elle</w:t>
      </w:r>
      <w:r>
        <w:rPr>
          <w:lang w:val="fr-CH"/>
        </w:rPr>
        <w:t xml:space="preserve">s </w:t>
      </w:r>
      <w:r w:rsidR="00E94F12">
        <w:rPr>
          <w:lang w:val="fr-CH"/>
        </w:rPr>
        <w:t>comportent une gamme</w:t>
      </w:r>
      <w:r>
        <w:rPr>
          <w:lang w:val="fr-CH"/>
        </w:rPr>
        <w:t xml:space="preserve"> </w:t>
      </w:r>
      <w:r w:rsidR="00E94F12">
        <w:rPr>
          <w:lang w:val="fr-CH"/>
        </w:rPr>
        <w:t>d'</w:t>
      </w:r>
      <w:r>
        <w:rPr>
          <w:lang w:val="fr-CH"/>
        </w:rPr>
        <w:t>applications multimédias très diverses, telles que des applications mobiles de</w:t>
      </w:r>
      <w:r w:rsidR="00F578A9">
        <w:rPr>
          <w:lang w:val="fr-CH"/>
        </w:rPr>
        <w:t xml:space="preserve"> télémédecine, de télétravail,</w:t>
      </w:r>
      <w:r>
        <w:rPr>
          <w:lang w:val="fr-CH"/>
        </w:rPr>
        <w:t xml:space="preserve"> de téléapprentissage</w:t>
      </w:r>
      <w:r w:rsidR="00F578A9">
        <w:rPr>
          <w:lang w:val="fr-CH"/>
        </w:rPr>
        <w:t xml:space="preserve"> et autres</w:t>
      </w:r>
      <w:r w:rsidRPr="003F7CEF">
        <w:rPr>
          <w:lang w:val="fr-CH"/>
        </w:rPr>
        <w:t>;</w:t>
      </w:r>
    </w:p>
    <w:p w:rsidR="00960442" w:rsidRDefault="00960442" w:rsidP="00960442">
      <w:pPr>
        <w:rPr>
          <w:color w:val="000000" w:themeColor="text1"/>
          <w:lang w:val="fr-CH"/>
        </w:rPr>
      </w:pPr>
      <w:r>
        <w:rPr>
          <w:i/>
          <w:iCs/>
          <w:lang w:val="fr-CH"/>
        </w:rPr>
        <w:t>d)</w:t>
      </w:r>
      <w:r>
        <w:rPr>
          <w:i/>
          <w:iCs/>
          <w:lang w:val="fr-CH"/>
        </w:rPr>
        <w:tab/>
      </w:r>
      <w:r w:rsidRPr="00377ADD">
        <w:rPr>
          <w:lang w:val="fr-CH"/>
        </w:rPr>
        <w:t>qu</w:t>
      </w:r>
      <w:r>
        <w:rPr>
          <w:lang w:val="fr-CH"/>
        </w:rPr>
        <w:t>'</w:t>
      </w:r>
      <w:r w:rsidRPr="00377ADD">
        <w:rPr>
          <w:lang w:val="fr-CH"/>
        </w:rPr>
        <w:t>il est nécessaire de tirer parti en permanence des progrès technologique</w:t>
      </w:r>
      <w:r>
        <w:rPr>
          <w:lang w:val="fr-CH"/>
        </w:rPr>
        <w:t>s,</w:t>
      </w:r>
      <w:r w:rsidRPr="00377ADD">
        <w:rPr>
          <w:lang w:val="fr-CH"/>
        </w:rPr>
        <w:t xml:space="preserve"> pour accro</w:t>
      </w:r>
      <w:r>
        <w:rPr>
          <w:lang w:val="fr-CH"/>
        </w:rPr>
        <w:t>ître l'efficacité d'utilisation du spectre et faciliter l'accès au spectre</w:t>
      </w:r>
      <w:r w:rsidRPr="00377ADD">
        <w:rPr>
          <w:color w:val="000000" w:themeColor="text1"/>
          <w:lang w:val="fr-CH"/>
        </w:rPr>
        <w:t>;</w:t>
      </w:r>
    </w:p>
    <w:p w:rsidR="00264D76" w:rsidRPr="00264D76" w:rsidRDefault="00960442" w:rsidP="00644A16">
      <w:pPr>
        <w:rPr>
          <w:color w:val="000000" w:themeColor="text1"/>
          <w:lang w:val="fr-CH"/>
        </w:rPr>
      </w:pPr>
      <w:r w:rsidRPr="00264D76">
        <w:rPr>
          <w:i/>
          <w:iCs/>
          <w:color w:val="000000" w:themeColor="text1"/>
          <w:lang w:val="fr-CH"/>
        </w:rPr>
        <w:lastRenderedPageBreak/>
        <w:t>e)</w:t>
      </w:r>
      <w:r w:rsidRPr="00264D76">
        <w:rPr>
          <w:i/>
          <w:iCs/>
          <w:color w:val="000000" w:themeColor="text1"/>
          <w:lang w:val="fr-CH"/>
        </w:rPr>
        <w:tab/>
      </w:r>
      <w:r w:rsidR="00264D76" w:rsidRPr="00264D76">
        <w:rPr>
          <w:color w:val="000000" w:themeColor="text1"/>
          <w:lang w:val="fr-CH"/>
        </w:rPr>
        <w:t>qu</w:t>
      </w:r>
      <w:r w:rsidR="00CC3490">
        <w:rPr>
          <w:color w:val="000000" w:themeColor="text1"/>
          <w:lang w:val="fr-CH"/>
        </w:rPr>
        <w:t>'</w:t>
      </w:r>
      <w:r w:rsidR="00264D76" w:rsidRPr="00264D76">
        <w:rPr>
          <w:color w:val="000000" w:themeColor="text1"/>
          <w:lang w:val="fr-CH"/>
        </w:rPr>
        <w:t xml:space="preserve">à mesure que les technologies évoluent pour répondre aux exigences </w:t>
      </w:r>
      <w:r w:rsidR="006D669A">
        <w:rPr>
          <w:color w:val="000000" w:themeColor="text1"/>
          <w:lang w:val="fr-CH"/>
        </w:rPr>
        <w:t>croissantes</w:t>
      </w:r>
      <w:r w:rsidR="00264D76" w:rsidRPr="00264D76">
        <w:rPr>
          <w:color w:val="000000" w:themeColor="text1"/>
          <w:lang w:val="fr-CH"/>
        </w:rPr>
        <w:t xml:space="preserve"> </w:t>
      </w:r>
      <w:r w:rsidR="00CC3490">
        <w:rPr>
          <w:color w:val="000000" w:themeColor="text1"/>
          <w:lang w:val="fr-CH"/>
        </w:rPr>
        <w:t>en matière de</w:t>
      </w:r>
      <w:r w:rsidR="00264D76" w:rsidRPr="00264D76">
        <w:rPr>
          <w:color w:val="000000" w:themeColor="text1"/>
          <w:lang w:val="fr-CH"/>
        </w:rPr>
        <w:t xml:space="preserve"> qualité et que le trafic </w:t>
      </w:r>
      <w:r w:rsidR="00CC3490">
        <w:rPr>
          <w:color w:val="000000" w:themeColor="text1"/>
          <w:lang w:val="fr-CH"/>
        </w:rPr>
        <w:t xml:space="preserve">acheminé </w:t>
      </w:r>
      <w:r w:rsidR="00264D76" w:rsidRPr="00264D76">
        <w:rPr>
          <w:color w:val="000000" w:themeColor="text1"/>
          <w:lang w:val="fr-CH"/>
        </w:rPr>
        <w:t xml:space="preserve">sur les systèmes WAS </w:t>
      </w:r>
      <w:r w:rsidR="006D669A">
        <w:rPr>
          <w:color w:val="000000" w:themeColor="text1"/>
          <w:lang w:val="fr-CH"/>
        </w:rPr>
        <w:t xml:space="preserve">large bande </w:t>
      </w:r>
      <w:r w:rsidR="00264D76" w:rsidRPr="00264D76">
        <w:rPr>
          <w:color w:val="000000" w:themeColor="text1"/>
          <w:lang w:val="fr-CH"/>
        </w:rPr>
        <w:t xml:space="preserve">augmente, l'utilisation de </w:t>
      </w:r>
      <w:r w:rsidR="00CC3490">
        <w:rPr>
          <w:color w:val="000000" w:themeColor="text1"/>
          <w:lang w:val="fr-CH"/>
        </w:rPr>
        <w:t>voies</w:t>
      </w:r>
      <w:r w:rsidR="00264D76" w:rsidRPr="00264D76">
        <w:rPr>
          <w:color w:val="000000" w:themeColor="text1"/>
          <w:lang w:val="fr-CH"/>
        </w:rPr>
        <w:t xml:space="preserve"> </w:t>
      </w:r>
      <w:r w:rsidR="00CC3490">
        <w:rPr>
          <w:color w:val="000000" w:themeColor="text1"/>
          <w:lang w:val="fr-CH"/>
        </w:rPr>
        <w:t xml:space="preserve">à bande plus large afin d'assurer des </w:t>
      </w:r>
      <w:r w:rsidR="00644A16">
        <w:rPr>
          <w:color w:val="000000" w:themeColor="text1"/>
          <w:lang w:val="fr-CH"/>
        </w:rPr>
        <w:t>débits de données élevés crée des</w:t>
      </w:r>
      <w:r w:rsidR="00CC3490">
        <w:rPr>
          <w:color w:val="000000" w:themeColor="text1"/>
          <w:lang w:val="fr-CH"/>
        </w:rPr>
        <w:t xml:space="preserve"> besoin</w:t>
      </w:r>
      <w:r w:rsidR="00644A16">
        <w:rPr>
          <w:color w:val="000000" w:themeColor="text1"/>
          <w:lang w:val="fr-CH"/>
        </w:rPr>
        <w:t>s</w:t>
      </w:r>
      <w:r w:rsidR="00CC3490">
        <w:rPr>
          <w:color w:val="000000" w:themeColor="text1"/>
          <w:lang w:val="fr-CH"/>
        </w:rPr>
        <w:t xml:space="preserve"> de fréquences supplémentaires,</w:t>
      </w:r>
    </w:p>
    <w:p w:rsidR="00960442" w:rsidRPr="00960442" w:rsidRDefault="00960442" w:rsidP="00960442">
      <w:pPr>
        <w:pStyle w:val="Call"/>
        <w:rPr>
          <w:lang w:val="fr-CH"/>
        </w:rPr>
      </w:pPr>
      <w:r w:rsidRPr="00960442">
        <w:rPr>
          <w:lang w:val="fr-CH"/>
        </w:rPr>
        <w:t>considérant en outre</w:t>
      </w:r>
    </w:p>
    <w:p w:rsidR="00960442" w:rsidRDefault="00960442" w:rsidP="00D31A56">
      <w:pPr>
        <w:rPr>
          <w:lang w:val="fr-CH"/>
        </w:rPr>
      </w:pPr>
      <w:r w:rsidRPr="00960442">
        <w:rPr>
          <w:i/>
          <w:iCs/>
          <w:lang w:val="fr-CH"/>
        </w:rPr>
        <w:t>a)</w:t>
      </w:r>
      <w:r w:rsidRPr="00960442">
        <w:rPr>
          <w:i/>
          <w:iCs/>
          <w:lang w:val="fr-CH"/>
        </w:rPr>
        <w:tab/>
      </w:r>
      <w:r>
        <w:rPr>
          <w:lang w:val="fr-CH"/>
        </w:rPr>
        <w:t>qu'il est essentiel de mettre</w:t>
      </w:r>
      <w:r w:rsidRPr="00DC236B">
        <w:rPr>
          <w:lang w:val="fr-CH"/>
        </w:rPr>
        <w:t xml:space="preserve"> à disposition</w:t>
      </w:r>
      <w:r>
        <w:rPr>
          <w:lang w:val="fr-CH"/>
        </w:rPr>
        <w:t>,</w:t>
      </w:r>
      <w:r w:rsidRPr="00DC236B">
        <w:rPr>
          <w:lang w:val="fr-CH"/>
        </w:rPr>
        <w:t xml:space="preserve"> en temps </w:t>
      </w:r>
      <w:r w:rsidR="0064436C">
        <w:rPr>
          <w:lang w:val="fr-CH"/>
        </w:rPr>
        <w:t>utile</w:t>
      </w:r>
      <w:r>
        <w:rPr>
          <w:lang w:val="fr-CH"/>
        </w:rPr>
        <w:t xml:space="preserve">, </w:t>
      </w:r>
      <w:r w:rsidRPr="00DC236B">
        <w:rPr>
          <w:lang w:val="fr-CH"/>
        </w:rPr>
        <w:t xml:space="preserve">une quantité de spectre suffisante et de </w:t>
      </w:r>
      <w:r>
        <w:rPr>
          <w:lang w:val="fr-CH"/>
        </w:rPr>
        <w:t xml:space="preserve">prévoir des </w:t>
      </w:r>
      <w:r w:rsidRPr="00DC236B">
        <w:rPr>
          <w:lang w:val="fr-CH"/>
        </w:rPr>
        <w:t xml:space="preserve">dispositions </w:t>
      </w:r>
      <w:r>
        <w:rPr>
          <w:lang w:val="fr-CH"/>
        </w:rPr>
        <w:t>réglementaires</w:t>
      </w:r>
      <w:r w:rsidR="00A27C91">
        <w:rPr>
          <w:lang w:val="fr-CH"/>
        </w:rPr>
        <w:t xml:space="preserve"> appropriées</w:t>
      </w:r>
      <w:r>
        <w:rPr>
          <w:lang w:val="fr-CH"/>
        </w:rPr>
        <w:t xml:space="preserve"> pour </w:t>
      </w:r>
      <w:r w:rsidR="00D31A56">
        <w:rPr>
          <w:lang w:val="fr-CH"/>
        </w:rPr>
        <w:t>soutenir</w:t>
      </w:r>
      <w:r>
        <w:rPr>
          <w:lang w:val="fr-CH"/>
        </w:rPr>
        <w:t xml:space="preserve"> la croissance future des </w:t>
      </w:r>
      <w:r w:rsidR="00CC3490">
        <w:rPr>
          <w:lang w:val="fr-CH"/>
        </w:rPr>
        <w:t xml:space="preserve">applications des </w:t>
      </w:r>
      <w:r>
        <w:rPr>
          <w:lang w:val="fr-CH"/>
        </w:rPr>
        <w:t xml:space="preserve">systèmes </w:t>
      </w:r>
      <w:r w:rsidR="00CC3490">
        <w:rPr>
          <w:lang w:val="fr-CH"/>
        </w:rPr>
        <w:t xml:space="preserve">WAS large bande, </w:t>
      </w:r>
      <w:r w:rsidR="00400219">
        <w:rPr>
          <w:lang w:val="fr-CH"/>
        </w:rPr>
        <w:t>réseaux RLAN compris</w:t>
      </w:r>
      <w:r w:rsidR="00CC3490">
        <w:rPr>
          <w:lang w:val="fr-CH"/>
        </w:rPr>
        <w:t>;</w:t>
      </w:r>
    </w:p>
    <w:p w:rsidR="0064436C" w:rsidRPr="0064436C" w:rsidRDefault="00F773FF" w:rsidP="003B455F">
      <w:pPr>
        <w:rPr>
          <w:lang w:val="fr-CH"/>
        </w:rPr>
      </w:pPr>
      <w:r w:rsidRPr="0064436C">
        <w:rPr>
          <w:i/>
          <w:iCs/>
          <w:lang w:val="fr-CH"/>
        </w:rPr>
        <w:t>b)</w:t>
      </w:r>
      <w:r w:rsidRPr="0064436C">
        <w:rPr>
          <w:i/>
          <w:iCs/>
          <w:lang w:val="fr-CH"/>
        </w:rPr>
        <w:tab/>
      </w:r>
      <w:r w:rsidR="003B455F">
        <w:rPr>
          <w:lang w:val="fr-CH"/>
        </w:rPr>
        <w:t xml:space="preserve">qu'une harmonisation des bandes </w:t>
      </w:r>
      <w:r w:rsidR="003B455F" w:rsidRPr="0064436C">
        <w:rPr>
          <w:lang w:val="fr-CH"/>
        </w:rPr>
        <w:t xml:space="preserve">à l'échelle mondiale </w:t>
      </w:r>
      <w:r w:rsidR="0064436C" w:rsidRPr="0064436C">
        <w:rPr>
          <w:lang w:val="fr-CH"/>
        </w:rPr>
        <w:t xml:space="preserve">est vivement souhaitable pour </w:t>
      </w:r>
      <w:r w:rsidR="006D669A">
        <w:rPr>
          <w:lang w:val="fr-CH"/>
        </w:rPr>
        <w:t>soutenir</w:t>
      </w:r>
      <w:r w:rsidR="0064436C" w:rsidRPr="0064436C">
        <w:rPr>
          <w:lang w:val="fr-CH"/>
        </w:rPr>
        <w:t xml:space="preserve"> la croissance future </w:t>
      </w:r>
      <w:r w:rsidR="0064436C">
        <w:rPr>
          <w:lang w:val="fr-CH"/>
        </w:rPr>
        <w:t xml:space="preserve">des applications </w:t>
      </w:r>
      <w:r w:rsidR="0064436C" w:rsidRPr="0064436C">
        <w:rPr>
          <w:lang w:val="fr-CH"/>
        </w:rPr>
        <w:t xml:space="preserve">des systèmes WAS large bande, </w:t>
      </w:r>
      <w:r w:rsidR="00400219">
        <w:rPr>
          <w:lang w:val="fr-CH"/>
        </w:rPr>
        <w:t>réseaux RLAN compris</w:t>
      </w:r>
      <w:r w:rsidR="0064436C">
        <w:rPr>
          <w:lang w:val="fr-CH"/>
        </w:rPr>
        <w:t xml:space="preserve">, </w:t>
      </w:r>
      <w:r w:rsidR="006D669A">
        <w:rPr>
          <w:lang w:val="fr-CH"/>
        </w:rPr>
        <w:t>compte tenu</w:t>
      </w:r>
      <w:r w:rsidR="0064436C">
        <w:rPr>
          <w:lang w:val="fr-CH"/>
        </w:rPr>
        <w:t xml:space="preserve"> des avantages qui en </w:t>
      </w:r>
      <w:r w:rsidR="003B455F">
        <w:rPr>
          <w:lang w:val="fr-CH"/>
        </w:rPr>
        <w:t>résult</w:t>
      </w:r>
      <w:r w:rsidR="0064436C">
        <w:rPr>
          <w:lang w:val="fr-CH"/>
        </w:rPr>
        <w:t>eraient en termes d'économies d'échelle,</w:t>
      </w:r>
    </w:p>
    <w:p w:rsidR="00F773FF" w:rsidRPr="0064436C" w:rsidRDefault="00F773FF" w:rsidP="00F773FF">
      <w:pPr>
        <w:pStyle w:val="Call"/>
        <w:rPr>
          <w:lang w:val="fr-CH"/>
        </w:rPr>
      </w:pPr>
      <w:r w:rsidRPr="0064436C">
        <w:rPr>
          <w:lang w:val="fr-CH"/>
        </w:rPr>
        <w:t>notant</w:t>
      </w:r>
    </w:p>
    <w:p w:rsidR="0064436C" w:rsidRPr="0064436C" w:rsidRDefault="00F773FF" w:rsidP="00E2578D">
      <w:pPr>
        <w:rPr>
          <w:lang w:val="fr-CH"/>
        </w:rPr>
      </w:pPr>
      <w:r w:rsidRPr="0064436C">
        <w:rPr>
          <w:i/>
          <w:iCs/>
          <w:lang w:val="fr-CH"/>
        </w:rPr>
        <w:t>a)</w:t>
      </w:r>
      <w:r w:rsidRPr="0064436C">
        <w:rPr>
          <w:i/>
          <w:iCs/>
          <w:lang w:val="fr-CH"/>
        </w:rPr>
        <w:tab/>
      </w:r>
      <w:r w:rsidR="0064436C" w:rsidRPr="0064436C">
        <w:rPr>
          <w:lang w:val="fr-CH"/>
        </w:rPr>
        <w:t xml:space="preserve">que, conformément à la Résolution </w:t>
      </w:r>
      <w:r w:rsidR="0064436C" w:rsidRPr="0064436C">
        <w:rPr>
          <w:b/>
          <w:bCs/>
          <w:lang w:val="fr-CH"/>
        </w:rPr>
        <w:t>229 (Rév.CMR-12)</w:t>
      </w:r>
      <w:r w:rsidR="0064436C">
        <w:rPr>
          <w:lang w:val="fr-CH"/>
        </w:rPr>
        <w:t xml:space="preserve">, les bandes </w:t>
      </w:r>
      <w:r w:rsidR="0064436C" w:rsidRPr="0064436C">
        <w:rPr>
          <w:lang w:val="fr-CH"/>
        </w:rPr>
        <w:t>5 150-5 250 MHz, 5 </w:t>
      </w:r>
      <w:r w:rsidR="0064436C" w:rsidRPr="0064436C">
        <w:rPr>
          <w:rStyle w:val="BRNormal"/>
          <w:lang w:val="fr-CH"/>
        </w:rPr>
        <w:t xml:space="preserve">250-5 350 MHz </w:t>
      </w:r>
      <w:r w:rsidR="0064436C">
        <w:rPr>
          <w:rStyle w:val="BRNormal"/>
          <w:lang w:val="fr-CH"/>
        </w:rPr>
        <w:t>et</w:t>
      </w:r>
      <w:r w:rsidR="0064436C" w:rsidRPr="0064436C">
        <w:rPr>
          <w:rStyle w:val="BRNormal"/>
          <w:lang w:val="fr-CH"/>
        </w:rPr>
        <w:t xml:space="preserve"> 5 470-5 725 MHz</w:t>
      </w:r>
      <w:r w:rsidR="0064436C">
        <w:rPr>
          <w:rStyle w:val="BRNormal"/>
          <w:lang w:val="fr-CH"/>
        </w:rPr>
        <w:t xml:space="preserve"> sont attribuées au service mobile pour </w:t>
      </w:r>
      <w:r w:rsidR="006D669A">
        <w:rPr>
          <w:rStyle w:val="BRNormal"/>
          <w:lang w:val="fr-CH"/>
        </w:rPr>
        <w:t>la mise en oeuvre</w:t>
      </w:r>
      <w:r w:rsidR="0064436C">
        <w:rPr>
          <w:rStyle w:val="BRNormal"/>
          <w:lang w:val="fr-CH"/>
        </w:rPr>
        <w:t xml:space="preserve"> des applications des systèmes WAS, </w:t>
      </w:r>
      <w:r w:rsidR="00400219">
        <w:rPr>
          <w:rStyle w:val="BRNormal"/>
          <w:lang w:val="fr-CH"/>
        </w:rPr>
        <w:t>réseaux RLAN compris</w:t>
      </w:r>
      <w:r w:rsidR="0064436C">
        <w:rPr>
          <w:rStyle w:val="BRNormal"/>
          <w:lang w:val="fr-CH"/>
        </w:rPr>
        <w:t>;</w:t>
      </w:r>
    </w:p>
    <w:p w:rsidR="0064436C" w:rsidRPr="00D8002E" w:rsidRDefault="00F80838" w:rsidP="006F1BA4">
      <w:pPr>
        <w:rPr>
          <w:rStyle w:val="BRNormal"/>
          <w:lang w:val="fr-CH"/>
        </w:rPr>
      </w:pPr>
      <w:r w:rsidRPr="00D8002E">
        <w:rPr>
          <w:rStyle w:val="BRNormal"/>
          <w:i/>
          <w:iCs/>
          <w:lang w:val="fr-CH"/>
        </w:rPr>
        <w:t>b)</w:t>
      </w:r>
      <w:r w:rsidRPr="00D8002E">
        <w:rPr>
          <w:rStyle w:val="BRNormal"/>
          <w:i/>
          <w:iCs/>
          <w:lang w:val="fr-CH"/>
        </w:rPr>
        <w:tab/>
      </w:r>
      <w:r w:rsidR="00D8002E" w:rsidRPr="00D8002E">
        <w:rPr>
          <w:rStyle w:val="BRNormal"/>
          <w:lang w:val="fr-CH"/>
        </w:rPr>
        <w:t>qu</w:t>
      </w:r>
      <w:r w:rsidR="00D8002E">
        <w:rPr>
          <w:rStyle w:val="BRNormal"/>
          <w:lang w:val="fr-CH"/>
        </w:rPr>
        <w:t xml:space="preserve">e </w:t>
      </w:r>
      <w:r w:rsidR="00D8002E" w:rsidRPr="00D8002E">
        <w:rPr>
          <w:rStyle w:val="BRNormal"/>
          <w:lang w:val="fr-CH"/>
        </w:rPr>
        <w:t>dans la bande 5 725-5 850 MHz</w:t>
      </w:r>
      <w:r w:rsidR="00D8002E">
        <w:rPr>
          <w:rStyle w:val="BRNormal"/>
          <w:lang w:val="fr-CH"/>
        </w:rPr>
        <w:t xml:space="preserve">, il n'y a pas d'attribution à titre primaire pour l'utilisation des systèmes WAS, </w:t>
      </w:r>
      <w:r w:rsidR="00400219">
        <w:rPr>
          <w:rStyle w:val="BRNormal"/>
          <w:lang w:val="fr-CH"/>
        </w:rPr>
        <w:t>réseaux RLAN compris</w:t>
      </w:r>
      <w:r w:rsidR="00D8002E">
        <w:rPr>
          <w:rStyle w:val="BRNormal"/>
          <w:lang w:val="fr-CH"/>
        </w:rPr>
        <w:t xml:space="preserve">, mais que cette bande est attribuée par renvoi aux services fixe et mobile dans certains pays et que son utilisation pour les systèmes WAS, </w:t>
      </w:r>
      <w:r w:rsidR="00400219">
        <w:rPr>
          <w:rStyle w:val="BRNormal"/>
          <w:lang w:val="fr-CH"/>
        </w:rPr>
        <w:t>réseaux RLAN compris</w:t>
      </w:r>
      <w:r w:rsidR="00D8002E">
        <w:rPr>
          <w:rStyle w:val="BRNormal"/>
          <w:lang w:val="fr-CH"/>
        </w:rPr>
        <w:t xml:space="preserve">, est </w:t>
      </w:r>
      <w:r w:rsidR="003B1F6C">
        <w:rPr>
          <w:rStyle w:val="BRNormal"/>
          <w:lang w:val="fr-CH"/>
        </w:rPr>
        <w:t>de plus</w:t>
      </w:r>
      <w:r w:rsidR="00D8002E">
        <w:rPr>
          <w:rStyle w:val="BRNormal"/>
          <w:lang w:val="fr-CH"/>
        </w:rPr>
        <w:t xml:space="preserve"> déjà autorisée dans certains pays issus de</w:t>
      </w:r>
      <w:r w:rsidR="006F1BA4">
        <w:rPr>
          <w:rStyle w:val="BRNormal"/>
          <w:lang w:val="fr-CH"/>
        </w:rPr>
        <w:t xml:space="preserve"> toute</w:t>
      </w:r>
      <w:r w:rsidR="00D8002E">
        <w:rPr>
          <w:rStyle w:val="BRNormal"/>
          <w:lang w:val="fr-CH"/>
        </w:rPr>
        <w:t xml:space="preserve">s </w:t>
      </w:r>
      <w:r w:rsidR="006F1BA4">
        <w:rPr>
          <w:rStyle w:val="BRNormal"/>
          <w:lang w:val="fr-CH"/>
        </w:rPr>
        <w:t>les</w:t>
      </w:r>
      <w:r w:rsidR="00D8002E">
        <w:rPr>
          <w:rStyle w:val="BRNormal"/>
          <w:lang w:val="fr-CH"/>
        </w:rPr>
        <w:t xml:space="preserve"> Régions de l'UIT;</w:t>
      </w:r>
    </w:p>
    <w:p w:rsidR="00D8002E" w:rsidRPr="00D8002E" w:rsidRDefault="00F80838" w:rsidP="00FB1F93">
      <w:pPr>
        <w:rPr>
          <w:rStyle w:val="BRNormal"/>
          <w:lang w:val="fr-CH"/>
        </w:rPr>
      </w:pPr>
      <w:r w:rsidRPr="00D8002E">
        <w:rPr>
          <w:rStyle w:val="BRNormal"/>
          <w:i/>
          <w:iCs/>
          <w:lang w:val="fr-CH"/>
        </w:rPr>
        <w:t>c)</w:t>
      </w:r>
      <w:r w:rsidRPr="00D8002E">
        <w:rPr>
          <w:rStyle w:val="BRNormal"/>
          <w:i/>
          <w:iCs/>
          <w:lang w:val="fr-CH"/>
        </w:rPr>
        <w:tab/>
      </w:r>
      <w:r w:rsidR="007D3151">
        <w:rPr>
          <w:rStyle w:val="BRNormal"/>
          <w:lang w:val="fr-CH"/>
        </w:rPr>
        <w:t xml:space="preserve">qu'il </w:t>
      </w:r>
      <w:r w:rsidR="003B1F6C">
        <w:rPr>
          <w:rStyle w:val="BRNormal"/>
          <w:lang w:val="fr-CH"/>
        </w:rPr>
        <w:t>y aurait intérêt à utiliser</w:t>
      </w:r>
      <w:r w:rsidR="00D8002E" w:rsidRPr="00D8002E">
        <w:rPr>
          <w:rStyle w:val="BRNormal"/>
          <w:lang w:val="fr-CH"/>
        </w:rPr>
        <w:t xml:space="preserve"> </w:t>
      </w:r>
      <w:r w:rsidR="003B1F6C">
        <w:rPr>
          <w:rStyle w:val="BRNormal"/>
          <w:lang w:val="fr-CH"/>
        </w:rPr>
        <w:t>l</w:t>
      </w:r>
      <w:r w:rsidR="00D8002E" w:rsidRPr="00D8002E">
        <w:rPr>
          <w:rStyle w:val="BRNormal"/>
          <w:lang w:val="fr-CH"/>
        </w:rPr>
        <w:t>es bandes de fréquences 5 350</w:t>
      </w:r>
      <w:r w:rsidR="003B1F6C">
        <w:rPr>
          <w:rStyle w:val="BRNormal"/>
          <w:lang w:val="fr-CH"/>
        </w:rPr>
        <w:noBreakHyphen/>
      </w:r>
      <w:r w:rsidR="00D8002E" w:rsidRPr="00D8002E">
        <w:rPr>
          <w:rStyle w:val="BRNormal"/>
          <w:lang w:val="fr-CH"/>
        </w:rPr>
        <w:t xml:space="preserve">5 470 MHz </w:t>
      </w:r>
      <w:r w:rsidR="00D8002E">
        <w:rPr>
          <w:rStyle w:val="BRNormal"/>
          <w:lang w:val="fr-CH"/>
        </w:rPr>
        <w:t>et</w:t>
      </w:r>
      <w:r w:rsidR="00D8002E" w:rsidRPr="00D8002E">
        <w:rPr>
          <w:rStyle w:val="BRNormal"/>
          <w:lang w:val="fr-CH"/>
        </w:rPr>
        <w:t xml:space="preserve"> 5 725</w:t>
      </w:r>
      <w:r w:rsidR="003B1F6C">
        <w:rPr>
          <w:rStyle w:val="BRNormal"/>
          <w:lang w:val="fr-CH"/>
        </w:rPr>
        <w:noBreakHyphen/>
      </w:r>
      <w:r w:rsidR="00D8002E" w:rsidRPr="00D8002E">
        <w:rPr>
          <w:rStyle w:val="BRNormal"/>
          <w:lang w:val="fr-CH"/>
        </w:rPr>
        <w:t>5 925 MHz</w:t>
      </w:r>
      <w:r w:rsidR="00D8002E">
        <w:rPr>
          <w:rStyle w:val="BRNormal"/>
          <w:lang w:val="fr-CH"/>
        </w:rPr>
        <w:t xml:space="preserve"> </w:t>
      </w:r>
      <w:r w:rsidR="003B1F6C">
        <w:rPr>
          <w:rStyle w:val="BRNormal"/>
          <w:lang w:val="fr-CH"/>
        </w:rPr>
        <w:t xml:space="preserve">à l'échelle mondiale </w:t>
      </w:r>
      <w:r w:rsidR="00D8002E">
        <w:rPr>
          <w:rStyle w:val="BRNormal"/>
          <w:lang w:val="fr-CH"/>
        </w:rPr>
        <w:t xml:space="preserve">pour les </w:t>
      </w:r>
      <w:r w:rsidR="003B1F6C">
        <w:rPr>
          <w:rStyle w:val="BRNormal"/>
          <w:lang w:val="fr-CH"/>
        </w:rPr>
        <w:t xml:space="preserve">applications des </w:t>
      </w:r>
      <w:r w:rsidR="00D8002E">
        <w:rPr>
          <w:rStyle w:val="BRNormal"/>
          <w:lang w:val="fr-CH"/>
        </w:rPr>
        <w:t xml:space="preserve">systèmes WAS large bande, </w:t>
      </w:r>
      <w:r w:rsidR="00400219">
        <w:rPr>
          <w:rStyle w:val="BRNormal"/>
          <w:lang w:val="fr-CH"/>
        </w:rPr>
        <w:t>réseaux RLAN compris</w:t>
      </w:r>
      <w:r w:rsidR="007D3151">
        <w:rPr>
          <w:rStyle w:val="BRNormal"/>
          <w:lang w:val="fr-CH"/>
        </w:rPr>
        <w:t>, en tant que bandes d'ex</w:t>
      </w:r>
      <w:r w:rsidR="00741D78">
        <w:rPr>
          <w:rStyle w:val="BRNormal"/>
          <w:lang w:val="fr-CH"/>
        </w:rPr>
        <w:t>tension, dans la mesure où il po</w:t>
      </w:r>
      <w:r w:rsidR="007D3151">
        <w:rPr>
          <w:rStyle w:val="BRNormal"/>
          <w:lang w:val="fr-CH"/>
        </w:rPr>
        <w:t>u</w:t>
      </w:r>
      <w:r w:rsidR="00741D78">
        <w:rPr>
          <w:rStyle w:val="BRNormal"/>
          <w:lang w:val="fr-CH"/>
        </w:rPr>
        <w:t>rrai</w:t>
      </w:r>
      <w:r w:rsidR="007D3151">
        <w:rPr>
          <w:rStyle w:val="BRNormal"/>
          <w:lang w:val="fr-CH"/>
        </w:rPr>
        <w:t xml:space="preserve">t </w:t>
      </w:r>
      <w:r w:rsidR="00FB1F93">
        <w:rPr>
          <w:rStyle w:val="BRNormal"/>
          <w:lang w:val="fr-CH"/>
        </w:rPr>
        <w:t>être</w:t>
      </w:r>
      <w:r w:rsidR="007D3151">
        <w:rPr>
          <w:rStyle w:val="BRNormal"/>
          <w:lang w:val="fr-CH"/>
        </w:rPr>
        <w:t xml:space="preserve"> plus facile de mettre en oeuvre les applications des systèmes WAS large bande, </w:t>
      </w:r>
      <w:r w:rsidR="00400219">
        <w:rPr>
          <w:rStyle w:val="BRNormal"/>
          <w:lang w:val="fr-CH"/>
        </w:rPr>
        <w:t>réseaux RLAN compris</w:t>
      </w:r>
      <w:r w:rsidR="007D3151">
        <w:rPr>
          <w:rStyle w:val="BRNormal"/>
          <w:lang w:val="fr-CH"/>
        </w:rPr>
        <w:t>, dans des blocs de fréquences contigus de la gamme des 5 GHz;</w:t>
      </w:r>
    </w:p>
    <w:p w:rsidR="007D3151" w:rsidRPr="007D3151" w:rsidRDefault="00F80838" w:rsidP="00024F39">
      <w:pPr>
        <w:rPr>
          <w:rStyle w:val="BRNormal"/>
          <w:lang w:val="fr-CH"/>
        </w:rPr>
      </w:pPr>
      <w:r w:rsidRPr="007D3151">
        <w:rPr>
          <w:rStyle w:val="BRNormal"/>
          <w:i/>
          <w:iCs/>
          <w:lang w:val="fr-CH"/>
        </w:rPr>
        <w:t>d)</w:t>
      </w:r>
      <w:r w:rsidRPr="007D3151">
        <w:rPr>
          <w:rStyle w:val="BRNormal"/>
          <w:i/>
          <w:iCs/>
          <w:lang w:val="fr-CH"/>
        </w:rPr>
        <w:tab/>
      </w:r>
      <w:r w:rsidR="007D3151" w:rsidRPr="007D3151">
        <w:rPr>
          <w:rStyle w:val="BRNormal"/>
          <w:lang w:val="fr-CH"/>
        </w:rPr>
        <w:t xml:space="preserve">que les attributions au service d'exploration de la Terre par satellite (active) dans les bandes 5 350-5 460 MHz </w:t>
      </w:r>
      <w:r w:rsidR="007D3151">
        <w:rPr>
          <w:rStyle w:val="BRNormal"/>
          <w:lang w:val="fr-CH"/>
        </w:rPr>
        <w:t>et</w:t>
      </w:r>
      <w:r w:rsidR="007D3151" w:rsidRPr="007D3151">
        <w:rPr>
          <w:rStyle w:val="BRNormal"/>
          <w:lang w:val="fr-CH"/>
        </w:rPr>
        <w:t xml:space="preserve"> 5 460-5 470 MHz</w:t>
      </w:r>
      <w:r w:rsidR="007D3151">
        <w:rPr>
          <w:rStyle w:val="BRNormal"/>
          <w:lang w:val="fr-CH"/>
        </w:rPr>
        <w:t xml:space="preserve"> </w:t>
      </w:r>
      <w:r w:rsidR="00024F39">
        <w:rPr>
          <w:rStyle w:val="BRNormal"/>
          <w:lang w:val="fr-CH"/>
        </w:rPr>
        <w:t>sont</w:t>
      </w:r>
      <w:r w:rsidR="007D3151">
        <w:rPr>
          <w:rStyle w:val="BRNormal"/>
          <w:lang w:val="fr-CH"/>
        </w:rPr>
        <w:t xml:space="preserve"> essentiel</w:t>
      </w:r>
      <w:r w:rsidR="00024F39">
        <w:rPr>
          <w:rStyle w:val="BRNormal"/>
          <w:lang w:val="fr-CH"/>
        </w:rPr>
        <w:t>les</w:t>
      </w:r>
      <w:r w:rsidR="007D3151">
        <w:rPr>
          <w:rStyle w:val="BRNormal"/>
          <w:lang w:val="fr-CH"/>
        </w:rPr>
        <w:t xml:space="preserve"> pour des programmes d'observation de la Terre tels que Copernicus (</w:t>
      </w:r>
      <w:r w:rsidR="007D3151" w:rsidRPr="007D3151">
        <w:rPr>
          <w:rStyle w:val="BRNormal"/>
          <w:lang w:val="fr-CH"/>
        </w:rPr>
        <w:t xml:space="preserve">Sentinel-1 </w:t>
      </w:r>
      <w:r w:rsidR="007D3151">
        <w:rPr>
          <w:rStyle w:val="BRNormal"/>
          <w:lang w:val="fr-CH"/>
        </w:rPr>
        <w:t>et</w:t>
      </w:r>
      <w:r w:rsidR="007D3151" w:rsidRPr="007D3151">
        <w:rPr>
          <w:rStyle w:val="BRNormal"/>
          <w:lang w:val="fr-CH"/>
        </w:rPr>
        <w:t xml:space="preserve"> Sentinel-3)</w:t>
      </w:r>
      <w:r w:rsidR="007D3151">
        <w:rPr>
          <w:rStyle w:val="BRNormal"/>
          <w:lang w:val="fr-CH"/>
        </w:rPr>
        <w:t xml:space="preserve">, Jason et RADARSAT, et que les données collectées dans le cadre de ces programmes </w:t>
      </w:r>
      <w:r w:rsidR="00024F39">
        <w:rPr>
          <w:rStyle w:val="BRNormal"/>
          <w:lang w:val="fr-CH"/>
        </w:rPr>
        <w:t>sont primordiales pour disposer d'informations fiables et actualisées concernant l'évolution de notre planète et de son climat,</w:t>
      </w:r>
    </w:p>
    <w:p w:rsidR="00F80838" w:rsidRPr="00024F39" w:rsidRDefault="00F80838" w:rsidP="00F80838">
      <w:pPr>
        <w:pStyle w:val="Call"/>
      </w:pPr>
      <w:r w:rsidRPr="00024F39">
        <w:t>reconnaissant</w:t>
      </w:r>
    </w:p>
    <w:p w:rsidR="00024F39" w:rsidRPr="00A36147" w:rsidRDefault="00F80838" w:rsidP="00741D78">
      <w:pPr>
        <w:rPr>
          <w:lang w:val="fr-CH"/>
        </w:rPr>
      </w:pPr>
      <w:r w:rsidRPr="00A36147">
        <w:rPr>
          <w:i/>
          <w:iCs/>
          <w:lang w:val="fr-CH"/>
        </w:rPr>
        <w:t>a)</w:t>
      </w:r>
      <w:r w:rsidRPr="00A36147">
        <w:rPr>
          <w:i/>
          <w:iCs/>
          <w:lang w:val="fr-CH"/>
        </w:rPr>
        <w:tab/>
      </w:r>
      <w:r w:rsidR="00A36147" w:rsidRPr="00A36147">
        <w:rPr>
          <w:lang w:val="fr-CH"/>
        </w:rPr>
        <w:t xml:space="preserve">que les bandes de fréquences comprises entre </w:t>
      </w:r>
      <w:r w:rsidR="00A36147" w:rsidRPr="00A36147">
        <w:rPr>
          <w:rStyle w:val="BRNormal"/>
          <w:lang w:val="fr-CH"/>
        </w:rPr>
        <w:t xml:space="preserve">5 150 MHz </w:t>
      </w:r>
      <w:r w:rsidR="00A36147">
        <w:rPr>
          <w:rStyle w:val="BRNormal"/>
          <w:lang w:val="fr-CH"/>
        </w:rPr>
        <w:t>et</w:t>
      </w:r>
      <w:r w:rsidR="00A36147" w:rsidRPr="00A36147">
        <w:rPr>
          <w:rStyle w:val="BRNormal"/>
          <w:lang w:val="fr-CH"/>
        </w:rPr>
        <w:t xml:space="preserve"> 5 925 MHz</w:t>
      </w:r>
      <w:r w:rsidR="00A36147">
        <w:rPr>
          <w:rStyle w:val="BRNormal"/>
          <w:lang w:val="fr-CH"/>
        </w:rPr>
        <w:t xml:space="preserve"> sont attribuées à titre primaire avec égalité des droits à divers services de radiocommunication, </w:t>
      </w:r>
      <w:r w:rsidR="00741D78">
        <w:rPr>
          <w:rStyle w:val="BRNormal"/>
          <w:lang w:val="fr-CH"/>
        </w:rPr>
        <w:t>y compris</w:t>
      </w:r>
      <w:r w:rsidR="00A36147">
        <w:rPr>
          <w:rStyle w:val="BRNormal"/>
          <w:lang w:val="fr-CH"/>
        </w:rPr>
        <w:t xml:space="preserve"> le service fixe par satellite (Terre vers espace), le service d'exploration de la Terre par satellite (active), le service de radiolocalisation, le service de radionavigation aéronautique et le service de recherche spatiale (active);</w:t>
      </w:r>
    </w:p>
    <w:p w:rsidR="00A36147" w:rsidRPr="00A36147" w:rsidRDefault="00F80838" w:rsidP="00741D78">
      <w:pPr>
        <w:rPr>
          <w:rStyle w:val="BRNormal"/>
          <w:lang w:val="fr-CH"/>
        </w:rPr>
      </w:pPr>
      <w:r w:rsidRPr="00A36147">
        <w:rPr>
          <w:rStyle w:val="BRNormal"/>
          <w:i/>
          <w:iCs/>
          <w:lang w:val="fr-CH"/>
        </w:rPr>
        <w:t>b)</w:t>
      </w:r>
      <w:r w:rsidRPr="00A36147">
        <w:rPr>
          <w:rStyle w:val="BRNormal"/>
          <w:i/>
          <w:iCs/>
          <w:lang w:val="fr-CH"/>
        </w:rPr>
        <w:tab/>
      </w:r>
      <w:r w:rsidR="00A36147" w:rsidRPr="00A36147">
        <w:rPr>
          <w:rStyle w:val="BRNormal"/>
          <w:lang w:val="fr-CH"/>
        </w:rPr>
        <w:t xml:space="preserve">que les études de compatibilité menées par l'UIT-R </w:t>
      </w:r>
      <w:r w:rsidR="00F01962">
        <w:rPr>
          <w:rStyle w:val="BRNormal"/>
          <w:lang w:val="fr-CH"/>
        </w:rPr>
        <w:t>dans le cadre des</w:t>
      </w:r>
      <w:r w:rsidR="008A716B">
        <w:rPr>
          <w:rStyle w:val="BRNormal"/>
          <w:lang w:val="fr-CH"/>
        </w:rPr>
        <w:t xml:space="preserve"> travaux préparatoires en vue de</w:t>
      </w:r>
      <w:r w:rsidR="00A36147" w:rsidRPr="00A36147">
        <w:rPr>
          <w:rStyle w:val="BRNormal"/>
          <w:lang w:val="fr-CH"/>
        </w:rPr>
        <w:t xml:space="preserve"> la CMR-15 </w:t>
      </w:r>
      <w:r w:rsidR="00A36147">
        <w:rPr>
          <w:rStyle w:val="BRNormal"/>
          <w:lang w:val="fr-CH"/>
        </w:rPr>
        <w:t xml:space="preserve">montrent que si les systèmes WAS, </w:t>
      </w:r>
      <w:r w:rsidR="00400219">
        <w:rPr>
          <w:rStyle w:val="BRNormal"/>
          <w:lang w:val="fr-CH"/>
        </w:rPr>
        <w:t>réseaux RLAN compris</w:t>
      </w:r>
      <w:r w:rsidR="00A36147">
        <w:rPr>
          <w:rStyle w:val="BRNormal"/>
          <w:lang w:val="fr-CH"/>
        </w:rPr>
        <w:t xml:space="preserve">, utilisaient des paramètres conformes aux dispositions de la Résolution </w:t>
      </w:r>
      <w:r w:rsidR="00A36147" w:rsidRPr="00106380">
        <w:rPr>
          <w:rStyle w:val="BRNormal"/>
          <w:b/>
          <w:bCs/>
          <w:lang w:val="fr-CH"/>
        </w:rPr>
        <w:t>229 (Rév.CMR-12)</w:t>
      </w:r>
      <w:r w:rsidR="00A36147">
        <w:rPr>
          <w:rStyle w:val="BRNormal"/>
          <w:lang w:val="fr-CH"/>
        </w:rPr>
        <w:t xml:space="preserve">, le partage entre les </w:t>
      </w:r>
      <w:r w:rsidR="003B1F6C">
        <w:rPr>
          <w:rStyle w:val="BRNormal"/>
          <w:lang w:val="fr-CH"/>
        </w:rPr>
        <w:t>réseaux</w:t>
      </w:r>
      <w:r w:rsidR="00A36147">
        <w:rPr>
          <w:rStyle w:val="BRNormal"/>
          <w:lang w:val="fr-CH"/>
        </w:rPr>
        <w:t xml:space="preserve"> RLAN et les systèmes du SETS (active) dans la bande de fréquences </w:t>
      </w:r>
      <w:r w:rsidR="00A36147" w:rsidRPr="00A36147">
        <w:rPr>
          <w:rStyle w:val="BRNormal"/>
          <w:lang w:val="fr-CH"/>
        </w:rPr>
        <w:t>5 350-5 470 MHz</w:t>
      </w:r>
      <w:r w:rsidR="00A36147">
        <w:rPr>
          <w:rStyle w:val="BRNormal"/>
          <w:lang w:val="fr-CH"/>
        </w:rPr>
        <w:t xml:space="preserve"> ne serait pas possible, et que ces paramètres sont insuffisants pour assurer la protection de certains types de radars dans la bande de fréquences </w:t>
      </w:r>
      <w:r w:rsidR="00A36147" w:rsidRPr="00A36147">
        <w:rPr>
          <w:rStyle w:val="BRNormal"/>
          <w:lang w:val="fr-CH"/>
        </w:rPr>
        <w:t>5 350-5 470 MHz</w:t>
      </w:r>
      <w:r w:rsidR="00A36147">
        <w:rPr>
          <w:rStyle w:val="BRNormal"/>
          <w:lang w:val="fr-CH"/>
        </w:rPr>
        <w:t>; le partage p</w:t>
      </w:r>
      <w:r w:rsidR="00741D78">
        <w:rPr>
          <w:rStyle w:val="BRNormal"/>
          <w:lang w:val="fr-CH"/>
        </w:rPr>
        <w:t>eu</w:t>
      </w:r>
      <w:r w:rsidR="00A36147">
        <w:rPr>
          <w:rStyle w:val="BRNormal"/>
          <w:lang w:val="fr-CH"/>
        </w:rPr>
        <w:t xml:space="preserve">t être </w:t>
      </w:r>
      <w:r w:rsidR="00106380">
        <w:rPr>
          <w:rStyle w:val="BRNormal"/>
          <w:lang w:val="fr-CH"/>
        </w:rPr>
        <w:t>envisageable</w:t>
      </w:r>
      <w:r w:rsidR="00A36147">
        <w:rPr>
          <w:rStyle w:val="BRNormal"/>
          <w:lang w:val="fr-CH"/>
        </w:rPr>
        <w:t xml:space="preserve"> si des mesures supplémentaires d'atténuation des b</w:t>
      </w:r>
      <w:r w:rsidR="00106380">
        <w:rPr>
          <w:rStyle w:val="BRNormal"/>
          <w:lang w:val="fr-CH"/>
        </w:rPr>
        <w:t xml:space="preserve">rouillages </w:t>
      </w:r>
      <w:r w:rsidR="003918CE">
        <w:rPr>
          <w:rStyle w:val="BRNormal"/>
          <w:lang w:val="fr-CH"/>
        </w:rPr>
        <w:t>dus</w:t>
      </w:r>
      <w:r w:rsidR="00106380">
        <w:rPr>
          <w:rStyle w:val="BRNormal"/>
          <w:lang w:val="fr-CH"/>
        </w:rPr>
        <w:t xml:space="preserve"> aux réseaux RLAN sont mises en oeuvre, mais aucun accord n'a été </w:t>
      </w:r>
      <w:r w:rsidR="003918CE">
        <w:rPr>
          <w:rStyle w:val="BRNormal"/>
          <w:lang w:val="fr-CH"/>
        </w:rPr>
        <w:t>trouvé</w:t>
      </w:r>
      <w:r w:rsidR="00106380">
        <w:rPr>
          <w:rStyle w:val="BRNormal"/>
          <w:lang w:val="fr-CH"/>
        </w:rPr>
        <w:t xml:space="preserve"> </w:t>
      </w:r>
      <w:r w:rsidR="003918CE">
        <w:rPr>
          <w:rStyle w:val="BRNormal"/>
          <w:lang w:val="fr-CH"/>
        </w:rPr>
        <w:t>concernant</w:t>
      </w:r>
      <w:r w:rsidR="00106380">
        <w:rPr>
          <w:rStyle w:val="BRNormal"/>
          <w:lang w:val="fr-CH"/>
        </w:rPr>
        <w:t xml:space="preserve"> la </w:t>
      </w:r>
      <w:r w:rsidR="003918CE">
        <w:rPr>
          <w:rStyle w:val="BRNormal"/>
          <w:lang w:val="fr-CH"/>
        </w:rPr>
        <w:t>possibilité d'</w:t>
      </w:r>
      <w:r w:rsidR="00106380">
        <w:rPr>
          <w:rStyle w:val="BRNormal"/>
          <w:lang w:val="fr-CH"/>
        </w:rPr>
        <w:t>appli</w:t>
      </w:r>
      <w:r w:rsidR="003918CE">
        <w:rPr>
          <w:rStyle w:val="BRNormal"/>
          <w:lang w:val="fr-CH"/>
        </w:rPr>
        <w:t>quer</w:t>
      </w:r>
      <w:r w:rsidR="00106380">
        <w:rPr>
          <w:rStyle w:val="BRNormal"/>
          <w:lang w:val="fr-CH"/>
        </w:rPr>
        <w:t xml:space="preserve"> </w:t>
      </w:r>
      <w:r w:rsidR="003B1F6C">
        <w:rPr>
          <w:rStyle w:val="BRNormal"/>
          <w:lang w:val="fr-CH"/>
        </w:rPr>
        <w:t>de telles techniques</w:t>
      </w:r>
      <w:r w:rsidR="00106380">
        <w:rPr>
          <w:rStyle w:val="BRNormal"/>
          <w:lang w:val="fr-CH"/>
        </w:rPr>
        <w:t>;</w:t>
      </w:r>
    </w:p>
    <w:p w:rsidR="003918CE" w:rsidRPr="003918CE" w:rsidRDefault="00F80838" w:rsidP="00741D78">
      <w:pPr>
        <w:rPr>
          <w:rFonts w:eastAsia="Calibri"/>
          <w:lang w:val="fr-CH"/>
        </w:rPr>
      </w:pPr>
      <w:r w:rsidRPr="003918CE">
        <w:rPr>
          <w:rFonts w:eastAsia="Calibri"/>
          <w:i/>
          <w:iCs/>
          <w:lang w:val="fr-CH"/>
        </w:rPr>
        <w:lastRenderedPageBreak/>
        <w:t>c)</w:t>
      </w:r>
      <w:r w:rsidRPr="003918CE">
        <w:rPr>
          <w:rFonts w:eastAsia="Calibri"/>
          <w:i/>
          <w:iCs/>
          <w:lang w:val="fr-CH"/>
        </w:rPr>
        <w:tab/>
      </w:r>
      <w:r w:rsidR="003918CE" w:rsidRPr="003918CE">
        <w:rPr>
          <w:rFonts w:eastAsia="Calibri"/>
          <w:lang w:val="fr-CH"/>
        </w:rPr>
        <w:t>qu'</w:t>
      </w:r>
      <w:r w:rsidR="003918CE">
        <w:rPr>
          <w:rFonts w:eastAsia="Calibri"/>
          <w:lang w:val="fr-CH"/>
        </w:rPr>
        <w:t>il n'a été trouvé</w:t>
      </w:r>
      <w:r w:rsidR="003918CE" w:rsidRPr="003918CE">
        <w:rPr>
          <w:rFonts w:eastAsia="Calibri"/>
          <w:lang w:val="fr-CH"/>
        </w:rPr>
        <w:t xml:space="preserve"> </w:t>
      </w:r>
      <w:r w:rsidR="003918CE">
        <w:rPr>
          <w:rFonts w:eastAsia="Calibri"/>
          <w:lang w:val="fr-CH"/>
        </w:rPr>
        <w:t>d'</w:t>
      </w:r>
      <w:r w:rsidR="003918CE" w:rsidRPr="003918CE">
        <w:rPr>
          <w:rFonts w:eastAsia="Calibri"/>
          <w:lang w:val="fr-CH"/>
        </w:rPr>
        <w:t xml:space="preserve">accord </w:t>
      </w:r>
      <w:r w:rsidR="000F745E">
        <w:rPr>
          <w:rFonts w:eastAsia="Calibri"/>
          <w:lang w:val="fr-CH"/>
        </w:rPr>
        <w:t>ni au sujet</w:t>
      </w:r>
      <w:r w:rsidR="003918CE" w:rsidRPr="003918CE">
        <w:rPr>
          <w:rFonts w:eastAsia="Calibri"/>
          <w:lang w:val="fr-CH"/>
        </w:rPr>
        <w:t xml:space="preserve"> </w:t>
      </w:r>
      <w:r w:rsidR="000F745E">
        <w:rPr>
          <w:rFonts w:eastAsia="Calibri"/>
          <w:lang w:val="fr-CH"/>
        </w:rPr>
        <w:t>d</w:t>
      </w:r>
      <w:r w:rsidR="003918CE" w:rsidRPr="003918CE">
        <w:rPr>
          <w:rFonts w:eastAsia="Calibri"/>
          <w:lang w:val="fr-CH"/>
        </w:rPr>
        <w:t xml:space="preserve">es paramètres </w:t>
      </w:r>
      <w:r w:rsidR="003918CE">
        <w:rPr>
          <w:rFonts w:eastAsia="Calibri"/>
          <w:lang w:val="fr-CH"/>
        </w:rPr>
        <w:t xml:space="preserve">appropriés </w:t>
      </w:r>
      <w:r w:rsidR="003918CE" w:rsidRPr="003918CE">
        <w:rPr>
          <w:rFonts w:eastAsia="Calibri"/>
          <w:lang w:val="fr-CH"/>
        </w:rPr>
        <w:t>des réseaux RLAN</w:t>
      </w:r>
      <w:r w:rsidR="000F745E">
        <w:rPr>
          <w:rFonts w:eastAsia="Calibri"/>
          <w:lang w:val="fr-CH"/>
        </w:rPr>
        <w:t>,</w:t>
      </w:r>
      <w:r w:rsidR="003918CE">
        <w:rPr>
          <w:rFonts w:eastAsia="Calibri"/>
          <w:lang w:val="fr-CH"/>
        </w:rPr>
        <w:t xml:space="preserve"> ni </w:t>
      </w:r>
      <w:r w:rsidR="000F745E">
        <w:rPr>
          <w:rFonts w:eastAsia="Calibri"/>
          <w:lang w:val="fr-CH"/>
        </w:rPr>
        <w:t>au sujet d'</w:t>
      </w:r>
      <w:r w:rsidR="003918CE">
        <w:rPr>
          <w:rFonts w:eastAsia="Calibri"/>
          <w:lang w:val="fr-CH"/>
        </w:rPr>
        <w:t>aucune des études de compatibilité menées dans le cadre des travaux préparatoires de l'UIT</w:t>
      </w:r>
      <w:r w:rsidR="003918CE">
        <w:rPr>
          <w:rFonts w:eastAsia="Calibri"/>
          <w:lang w:val="fr-CH"/>
        </w:rPr>
        <w:noBreakHyphen/>
        <w:t>R en vue de la CMR</w:t>
      </w:r>
      <w:r w:rsidR="003918CE">
        <w:rPr>
          <w:rFonts w:eastAsia="Calibri"/>
          <w:lang w:val="fr-CH"/>
        </w:rPr>
        <w:noBreakHyphen/>
        <w:t xml:space="preserve">15 </w:t>
      </w:r>
      <w:r w:rsidR="00DE4AEB">
        <w:rPr>
          <w:rFonts w:eastAsia="Calibri"/>
          <w:lang w:val="fr-CH"/>
        </w:rPr>
        <w:t>concernant</w:t>
      </w:r>
      <w:r w:rsidR="003918CE">
        <w:rPr>
          <w:rFonts w:eastAsia="Calibri"/>
          <w:lang w:val="fr-CH"/>
        </w:rPr>
        <w:t xml:space="preserve"> la bande </w:t>
      </w:r>
      <w:r w:rsidR="003918CE" w:rsidRPr="003918CE">
        <w:rPr>
          <w:rStyle w:val="BRNormal"/>
          <w:lang w:val="fr-CH"/>
        </w:rPr>
        <w:t>5 725-5 850 MHz</w:t>
      </w:r>
      <w:r w:rsidR="003918CE">
        <w:rPr>
          <w:rStyle w:val="BRNormal"/>
          <w:lang w:val="fr-CH"/>
        </w:rPr>
        <w:t xml:space="preserve">, notamment </w:t>
      </w:r>
      <w:r w:rsidR="00741D78">
        <w:rPr>
          <w:rStyle w:val="BRNormal"/>
          <w:lang w:val="fr-CH"/>
        </w:rPr>
        <w:t>pour</w:t>
      </w:r>
      <w:r w:rsidR="003918CE">
        <w:rPr>
          <w:rStyle w:val="BRNormal"/>
          <w:lang w:val="fr-CH"/>
        </w:rPr>
        <w:t xml:space="preserve"> ce qui </w:t>
      </w:r>
      <w:r w:rsidR="00741D78">
        <w:rPr>
          <w:rStyle w:val="BRNormal"/>
          <w:lang w:val="fr-CH"/>
        </w:rPr>
        <w:t>est de</w:t>
      </w:r>
      <w:r w:rsidR="003918CE">
        <w:rPr>
          <w:rStyle w:val="BRNormal"/>
          <w:lang w:val="fr-CH"/>
        </w:rPr>
        <w:t xml:space="preserve"> la protection de certains types de radars;</w:t>
      </w:r>
    </w:p>
    <w:p w:rsidR="000F745E" w:rsidRPr="000F745E" w:rsidRDefault="00F80838" w:rsidP="000F745E">
      <w:pPr>
        <w:rPr>
          <w:rStyle w:val="BRNormal"/>
          <w:lang w:val="fr-CH"/>
        </w:rPr>
      </w:pPr>
      <w:r w:rsidRPr="000F745E">
        <w:rPr>
          <w:rStyle w:val="BRNormal"/>
          <w:i/>
          <w:iCs/>
          <w:lang w:val="fr-CH"/>
        </w:rPr>
        <w:t>d)</w:t>
      </w:r>
      <w:r w:rsidRPr="000F745E">
        <w:rPr>
          <w:rStyle w:val="BRNormal"/>
          <w:i/>
          <w:iCs/>
          <w:lang w:val="fr-CH"/>
        </w:rPr>
        <w:tab/>
      </w:r>
      <w:r w:rsidR="000F745E">
        <w:rPr>
          <w:rStyle w:val="BRNormal"/>
          <w:lang w:val="fr-CH"/>
        </w:rPr>
        <w:t xml:space="preserve">que l'application des </w:t>
      </w:r>
      <w:r w:rsidR="000F745E" w:rsidRPr="000F745E">
        <w:rPr>
          <w:rStyle w:val="BRNormal"/>
          <w:lang w:val="fr-CH"/>
        </w:rPr>
        <w:t>éventuelles mesures supplé</w:t>
      </w:r>
      <w:r w:rsidR="000F745E">
        <w:rPr>
          <w:rStyle w:val="BRNormal"/>
          <w:lang w:val="fr-CH"/>
        </w:rPr>
        <w:t xml:space="preserve">mentaires d'atténuation des brouillages dus aux réseaux RLAN visées au point </w:t>
      </w:r>
      <w:r w:rsidR="000F745E" w:rsidRPr="000F745E">
        <w:rPr>
          <w:rStyle w:val="BRNormal"/>
          <w:i/>
          <w:iCs/>
          <w:lang w:val="fr-CH"/>
        </w:rPr>
        <w:t>b)</w:t>
      </w:r>
      <w:r w:rsidR="000F745E">
        <w:rPr>
          <w:rStyle w:val="BRNormal"/>
          <w:lang w:val="fr-CH"/>
        </w:rPr>
        <w:t xml:space="preserve"> du </w:t>
      </w:r>
      <w:r w:rsidR="000F745E" w:rsidRPr="000F745E">
        <w:rPr>
          <w:rStyle w:val="BRNormal"/>
          <w:i/>
          <w:iCs/>
          <w:lang w:val="fr-CH"/>
        </w:rPr>
        <w:t>reconnaissant</w:t>
      </w:r>
      <w:r w:rsidR="000F745E">
        <w:rPr>
          <w:rStyle w:val="BRNormal"/>
          <w:lang w:val="fr-CH"/>
        </w:rPr>
        <w:t xml:space="preserve"> peuvent aussi être utiles pour assurer le fonctionnement des réseaux RLAN à l</w:t>
      </w:r>
      <w:r w:rsidR="00FB1F93">
        <w:rPr>
          <w:rStyle w:val="BRNormal"/>
          <w:lang w:val="fr-CH"/>
        </w:rPr>
        <w:t>'extérieur des bâtiments dans les</w:t>
      </w:r>
      <w:r w:rsidR="000F745E">
        <w:rPr>
          <w:rStyle w:val="BRNormal"/>
          <w:lang w:val="fr-CH"/>
        </w:rPr>
        <w:t xml:space="preserve"> bande</w:t>
      </w:r>
      <w:r w:rsidR="00FB1F93">
        <w:rPr>
          <w:rStyle w:val="BRNormal"/>
          <w:lang w:val="fr-CH"/>
        </w:rPr>
        <w:t>s</w:t>
      </w:r>
      <w:r w:rsidR="000F745E">
        <w:rPr>
          <w:rStyle w:val="BRNormal"/>
          <w:lang w:val="fr-CH"/>
        </w:rPr>
        <w:t xml:space="preserve"> </w:t>
      </w:r>
      <w:r w:rsidR="000F745E" w:rsidRPr="000F745E">
        <w:rPr>
          <w:rStyle w:val="BRNormal"/>
          <w:lang w:val="fr-CH"/>
        </w:rPr>
        <w:t xml:space="preserve">5 150-5 350 MHz </w:t>
      </w:r>
      <w:r w:rsidR="000F745E">
        <w:rPr>
          <w:rStyle w:val="BRNormal"/>
          <w:lang w:val="fr-CH"/>
        </w:rPr>
        <w:t>et</w:t>
      </w:r>
      <w:r w:rsidR="000F745E" w:rsidRPr="000F745E">
        <w:rPr>
          <w:rStyle w:val="BRNormal"/>
          <w:lang w:val="fr-CH"/>
        </w:rPr>
        <w:t xml:space="preserve"> 5 725-5 925 MHz</w:t>
      </w:r>
      <w:r w:rsidR="000F745E">
        <w:rPr>
          <w:rStyle w:val="BRNormal"/>
          <w:lang w:val="fr-CH"/>
        </w:rPr>
        <w:t>;</w:t>
      </w:r>
    </w:p>
    <w:p w:rsidR="00F80838" w:rsidRDefault="00F80838" w:rsidP="00400219">
      <w:pPr>
        <w:rPr>
          <w:lang w:val="fr-CH"/>
        </w:rPr>
      </w:pPr>
      <w:r w:rsidRPr="00F80838">
        <w:rPr>
          <w:rStyle w:val="BRNormal"/>
          <w:i/>
          <w:iCs/>
          <w:lang w:val="fr-CH"/>
        </w:rPr>
        <w:t>e)</w:t>
      </w:r>
      <w:r w:rsidRPr="00F80838">
        <w:rPr>
          <w:rStyle w:val="BRNormal"/>
          <w:i/>
          <w:iCs/>
          <w:lang w:val="fr-CH"/>
        </w:rPr>
        <w:tab/>
      </w:r>
      <w:r>
        <w:rPr>
          <w:lang w:val="fr-CH"/>
        </w:rPr>
        <w:t>que</w:t>
      </w:r>
      <w:r w:rsidR="00400219">
        <w:rPr>
          <w:lang w:val="fr-CH"/>
        </w:rPr>
        <w:t xml:space="preserve"> conformément au numéro </w:t>
      </w:r>
      <w:r w:rsidR="00400219">
        <w:rPr>
          <w:b/>
          <w:lang w:val="fr-CH"/>
        </w:rPr>
        <w:t>5</w:t>
      </w:r>
      <w:r w:rsidR="00400219" w:rsidRPr="00874A6A">
        <w:rPr>
          <w:b/>
          <w:lang w:val="fr-CH"/>
        </w:rPr>
        <w:t>.1</w:t>
      </w:r>
      <w:r w:rsidR="00400219">
        <w:rPr>
          <w:b/>
          <w:lang w:val="fr-CH"/>
        </w:rPr>
        <w:t>50</w:t>
      </w:r>
      <w:r w:rsidR="00400219">
        <w:rPr>
          <w:lang w:val="fr-CH"/>
        </w:rPr>
        <w:t>,</w:t>
      </w:r>
      <w:r>
        <w:rPr>
          <w:lang w:val="fr-CH"/>
        </w:rPr>
        <w:t xml:space="preserve"> la bande 5 725</w:t>
      </w:r>
      <w:r w:rsidRPr="00874A6A">
        <w:rPr>
          <w:lang w:val="fr-CH"/>
        </w:rPr>
        <w:t>-</w:t>
      </w:r>
      <w:r>
        <w:rPr>
          <w:lang w:val="fr-CH"/>
        </w:rPr>
        <w:t>5 875</w:t>
      </w:r>
      <w:r w:rsidRPr="00874A6A">
        <w:rPr>
          <w:lang w:val="fr-CH"/>
        </w:rPr>
        <w:t xml:space="preserve"> MHz </w:t>
      </w:r>
      <w:r w:rsidR="00400219">
        <w:rPr>
          <w:lang w:val="fr-CH"/>
        </w:rPr>
        <w:t xml:space="preserve">est également utilisable pour les </w:t>
      </w:r>
      <w:r>
        <w:rPr>
          <w:lang w:val="fr-CH"/>
        </w:rPr>
        <w:t>applications industrielles, s</w:t>
      </w:r>
      <w:r w:rsidR="000F745E">
        <w:rPr>
          <w:lang w:val="fr-CH"/>
        </w:rPr>
        <w:t>cientifiques et médicales (ISM), et que</w:t>
      </w:r>
      <w:r>
        <w:rPr>
          <w:lang w:val="fr-CH"/>
        </w:rPr>
        <w:t xml:space="preserve"> </w:t>
      </w:r>
      <w:r w:rsidR="000F745E">
        <w:rPr>
          <w:lang w:val="fr-CH"/>
        </w:rPr>
        <w:t>l</w:t>
      </w:r>
      <w:r>
        <w:rPr>
          <w:lang w:val="fr-CH"/>
        </w:rPr>
        <w:t xml:space="preserve">es services de radiocommunication </w:t>
      </w:r>
      <w:r w:rsidR="000F745E">
        <w:rPr>
          <w:lang w:val="fr-CH"/>
        </w:rPr>
        <w:t>exploités</w:t>
      </w:r>
      <w:r>
        <w:rPr>
          <w:lang w:val="fr-CH"/>
        </w:rPr>
        <w:t xml:space="preserve"> dans cette bande doivent accepter les brouillages préjudiciables qui peuvent </w:t>
      </w:r>
      <w:r w:rsidR="00400219">
        <w:rPr>
          <w:lang w:val="fr-CH"/>
        </w:rPr>
        <w:t>se produire du fait de ces</w:t>
      </w:r>
      <w:r w:rsidR="000F745E">
        <w:rPr>
          <w:lang w:val="fr-CH"/>
        </w:rPr>
        <w:t xml:space="preserve"> applications;</w:t>
      </w:r>
    </w:p>
    <w:p w:rsidR="00400219" w:rsidRPr="00400219" w:rsidRDefault="00F80838" w:rsidP="00E2578D">
      <w:pPr>
        <w:rPr>
          <w:lang w:val="fr-CH"/>
        </w:rPr>
      </w:pPr>
      <w:r w:rsidRPr="00400219">
        <w:rPr>
          <w:i/>
          <w:iCs/>
          <w:lang w:val="fr-CH"/>
        </w:rPr>
        <w:t>f)</w:t>
      </w:r>
      <w:r w:rsidRPr="00400219">
        <w:rPr>
          <w:i/>
          <w:iCs/>
          <w:lang w:val="fr-CH"/>
        </w:rPr>
        <w:tab/>
      </w:r>
      <w:r w:rsidR="00400219" w:rsidRPr="00400219">
        <w:rPr>
          <w:lang w:val="fr-CH"/>
        </w:rPr>
        <w:t xml:space="preserve">que les études relatives aux bandes </w:t>
      </w:r>
      <w:r w:rsidR="00400219" w:rsidRPr="00400219">
        <w:rPr>
          <w:rStyle w:val="BRNormal"/>
          <w:lang w:val="fr-CH"/>
        </w:rPr>
        <w:t xml:space="preserve">5 150-5 350 MHz </w:t>
      </w:r>
      <w:r w:rsidR="00400219">
        <w:rPr>
          <w:rStyle w:val="BRNormal"/>
          <w:lang w:val="fr-CH"/>
        </w:rPr>
        <w:t>et</w:t>
      </w:r>
      <w:r w:rsidR="00400219" w:rsidRPr="00400219">
        <w:rPr>
          <w:rStyle w:val="BRNormal"/>
          <w:lang w:val="fr-CH"/>
        </w:rPr>
        <w:t xml:space="preserve"> 5 470-5 725 MHz</w:t>
      </w:r>
      <w:r w:rsidR="00400219">
        <w:rPr>
          <w:rStyle w:val="BRNormal"/>
          <w:lang w:val="fr-CH"/>
        </w:rPr>
        <w:t xml:space="preserve"> doivent tenir compte des paramètres d'utilisation des systèmes WAS, réseaux RLAN compris, qui figurent dans la Résolution </w:t>
      </w:r>
      <w:r w:rsidR="00400219" w:rsidRPr="00400219">
        <w:rPr>
          <w:rStyle w:val="BRNormal"/>
          <w:b/>
          <w:bCs/>
          <w:lang w:val="fr-CH"/>
        </w:rPr>
        <w:t>229 (Rév.CMR-12)</w:t>
      </w:r>
      <w:r w:rsidR="00400219">
        <w:rPr>
          <w:rStyle w:val="BRNormal"/>
          <w:lang w:val="fr-CH"/>
        </w:rPr>
        <w:t>,</w:t>
      </w:r>
    </w:p>
    <w:p w:rsidR="001758E8" w:rsidRPr="00532240" w:rsidRDefault="001758E8" w:rsidP="001758E8">
      <w:pPr>
        <w:pStyle w:val="Call"/>
        <w:rPr>
          <w:lang w:val="fr-CH"/>
        </w:rPr>
      </w:pPr>
      <w:r w:rsidRPr="00532240">
        <w:rPr>
          <w:lang w:val="fr-CH"/>
        </w:rPr>
        <w:t>décide d'inviter l'UIT-R</w:t>
      </w:r>
    </w:p>
    <w:p w:rsidR="00400219" w:rsidRPr="00532240" w:rsidRDefault="001758E8" w:rsidP="00FB1F93">
      <w:pPr>
        <w:rPr>
          <w:lang w:val="fr-CH"/>
        </w:rPr>
      </w:pPr>
      <w:r w:rsidRPr="00532240">
        <w:rPr>
          <w:lang w:val="fr-CH"/>
        </w:rPr>
        <w:t>1</w:t>
      </w:r>
      <w:r w:rsidRPr="00532240">
        <w:rPr>
          <w:lang w:val="fr-CH"/>
        </w:rPr>
        <w:tab/>
      </w:r>
      <w:r w:rsidR="00532240" w:rsidRPr="00532240">
        <w:rPr>
          <w:lang w:val="fr-CH"/>
        </w:rPr>
        <w:t xml:space="preserve">à étudier et </w:t>
      </w:r>
      <w:r w:rsidR="00741D78">
        <w:rPr>
          <w:lang w:val="fr-CH"/>
        </w:rPr>
        <w:t xml:space="preserve">à </w:t>
      </w:r>
      <w:r w:rsidR="00532240" w:rsidRPr="00532240">
        <w:rPr>
          <w:lang w:val="fr-CH"/>
        </w:rPr>
        <w:t xml:space="preserve">évaluer les besoins opérationnels des systèmes WAS </w:t>
      </w:r>
      <w:r w:rsidR="00FB1F93">
        <w:rPr>
          <w:lang w:val="fr-CH"/>
        </w:rPr>
        <w:t>(</w:t>
      </w:r>
      <w:r w:rsidR="00532240" w:rsidRPr="00532240">
        <w:rPr>
          <w:lang w:val="fr-CH"/>
        </w:rPr>
        <w:t>réseaux RLAN compris</w:t>
      </w:r>
      <w:r w:rsidR="00FB1F93">
        <w:rPr>
          <w:lang w:val="fr-CH"/>
        </w:rPr>
        <w:t>)</w:t>
      </w:r>
      <w:r w:rsidR="00532240" w:rsidRPr="00532240">
        <w:rPr>
          <w:lang w:val="fr-CH"/>
        </w:rPr>
        <w:t xml:space="preserve"> </w:t>
      </w:r>
      <w:r w:rsidR="00532240">
        <w:rPr>
          <w:lang w:val="fr-CH"/>
        </w:rPr>
        <w:t xml:space="preserve">dans la gamme des 5 GHz, tels que les besoins de spectre et les caractéristiques techniques et opérationnelles, y compris les besoins afférents aux nouvelles technologies mobiles, dans la totalité de la gamme </w:t>
      </w:r>
      <w:r w:rsidR="00532240" w:rsidRPr="00532240">
        <w:rPr>
          <w:rStyle w:val="BRNormal"/>
          <w:rFonts w:eastAsia="Calibri"/>
          <w:lang w:val="fr-CH"/>
        </w:rPr>
        <w:t>5 150-5 925 MHz</w:t>
      </w:r>
      <w:r w:rsidR="00532240">
        <w:rPr>
          <w:rStyle w:val="BRNormal"/>
          <w:rFonts w:eastAsia="Calibri"/>
          <w:lang w:val="fr-CH"/>
        </w:rPr>
        <w:t>;</w:t>
      </w:r>
    </w:p>
    <w:p w:rsidR="00532240" w:rsidRPr="00532240" w:rsidRDefault="001758E8" w:rsidP="00FB1F93">
      <w:pPr>
        <w:rPr>
          <w:rStyle w:val="BRNormal"/>
          <w:lang w:val="fr-CH"/>
        </w:rPr>
      </w:pPr>
      <w:r w:rsidRPr="00532240">
        <w:rPr>
          <w:rStyle w:val="BRNormal"/>
          <w:lang w:val="fr-CH"/>
        </w:rPr>
        <w:t>2</w:t>
      </w:r>
      <w:r w:rsidRPr="00532240">
        <w:rPr>
          <w:rStyle w:val="BRNormal"/>
          <w:lang w:val="fr-CH"/>
        </w:rPr>
        <w:tab/>
      </w:r>
      <w:r w:rsidR="00532240" w:rsidRPr="00532240">
        <w:rPr>
          <w:rStyle w:val="BRNormal"/>
          <w:lang w:val="fr-CH"/>
        </w:rPr>
        <w:t xml:space="preserve">à étudier les bandes 5 350-5 470 MHz </w:t>
      </w:r>
      <w:r w:rsidR="00532240">
        <w:rPr>
          <w:rStyle w:val="BRNormal"/>
          <w:lang w:val="fr-CH"/>
        </w:rPr>
        <w:t>et</w:t>
      </w:r>
      <w:r w:rsidR="00532240" w:rsidRPr="00532240">
        <w:rPr>
          <w:rStyle w:val="BRNormal"/>
          <w:lang w:val="fr-CH"/>
        </w:rPr>
        <w:t xml:space="preserve"> 5 725-5 850 MHz</w:t>
      </w:r>
      <w:r w:rsidR="00532240">
        <w:rPr>
          <w:rStyle w:val="BRNormal"/>
          <w:lang w:val="fr-CH"/>
        </w:rPr>
        <w:t xml:space="preserve"> dans l'optique de </w:t>
      </w:r>
      <w:r w:rsidR="00FC043B">
        <w:rPr>
          <w:rStyle w:val="BRNormal"/>
          <w:lang w:val="fr-CH"/>
        </w:rPr>
        <w:t>leur utilisation éventuelle</w:t>
      </w:r>
      <w:r w:rsidR="00532240">
        <w:rPr>
          <w:rStyle w:val="BRNormal"/>
          <w:lang w:val="fr-CH"/>
        </w:rPr>
        <w:t xml:space="preserve"> pour les systèmes WAS (réseaux RLAN compris) dans le cadre d'une nouvelle attribution au service mobile, </w:t>
      </w:r>
      <w:r w:rsidR="00962E61">
        <w:rPr>
          <w:rStyle w:val="BRNormal"/>
          <w:lang w:val="fr-CH"/>
        </w:rPr>
        <w:t xml:space="preserve">et </w:t>
      </w:r>
      <w:r w:rsidR="00FB1F93">
        <w:rPr>
          <w:rStyle w:val="BRNormal"/>
          <w:lang w:val="fr-CH"/>
        </w:rPr>
        <w:t>notamment</w:t>
      </w:r>
      <w:r w:rsidR="00962E61">
        <w:rPr>
          <w:rStyle w:val="BRNormal"/>
          <w:lang w:val="fr-CH"/>
        </w:rPr>
        <w:t xml:space="preserve"> à envisager</w:t>
      </w:r>
      <w:r w:rsidR="00532240">
        <w:rPr>
          <w:rStyle w:val="BRNormal"/>
          <w:lang w:val="fr-CH"/>
        </w:rPr>
        <w:t xml:space="preserve"> </w:t>
      </w:r>
      <w:r w:rsidR="00532240">
        <w:rPr>
          <w:lang w:val="fr-CH"/>
        </w:rPr>
        <w:t xml:space="preserve">de nouvelles études sur les techniques supplémentaires d'atténuation des brouillages </w:t>
      </w:r>
      <w:r w:rsidR="008A716B">
        <w:rPr>
          <w:lang w:val="fr-CH"/>
        </w:rPr>
        <w:t>éventuellement applicables</w:t>
      </w:r>
      <w:r w:rsidR="00532240">
        <w:rPr>
          <w:lang w:val="fr-CH"/>
        </w:rPr>
        <w:t xml:space="preserve">, compte tenu des études de compatibilité menées </w:t>
      </w:r>
      <w:r w:rsidR="00F01962">
        <w:rPr>
          <w:lang w:val="fr-CH"/>
        </w:rPr>
        <w:t>dans le cadre des</w:t>
      </w:r>
      <w:r w:rsidR="008A716B">
        <w:rPr>
          <w:lang w:val="fr-CH"/>
        </w:rPr>
        <w:t xml:space="preserve"> travaux préparatoires en vue de</w:t>
      </w:r>
      <w:r w:rsidR="00532240">
        <w:rPr>
          <w:lang w:val="fr-CH"/>
        </w:rPr>
        <w:t xml:space="preserve"> la CMR-15 (voir les points </w:t>
      </w:r>
      <w:r w:rsidR="00532240" w:rsidRPr="00532240">
        <w:rPr>
          <w:i/>
          <w:iCs/>
          <w:lang w:val="fr-CH"/>
        </w:rPr>
        <w:t>b)</w:t>
      </w:r>
      <w:r w:rsidR="00532240">
        <w:rPr>
          <w:lang w:val="fr-CH"/>
        </w:rPr>
        <w:t xml:space="preserve"> et </w:t>
      </w:r>
      <w:r w:rsidR="00532240" w:rsidRPr="00532240">
        <w:rPr>
          <w:i/>
          <w:iCs/>
          <w:lang w:val="fr-CH"/>
        </w:rPr>
        <w:t>c)</w:t>
      </w:r>
      <w:r w:rsidR="00532240">
        <w:rPr>
          <w:lang w:val="fr-CH"/>
        </w:rPr>
        <w:t xml:space="preserve"> du </w:t>
      </w:r>
      <w:r w:rsidR="00532240" w:rsidRPr="00532240">
        <w:rPr>
          <w:i/>
          <w:iCs/>
          <w:lang w:val="fr-CH"/>
        </w:rPr>
        <w:t>reconnaissant</w:t>
      </w:r>
      <w:r w:rsidR="00532240">
        <w:rPr>
          <w:lang w:val="fr-CH"/>
        </w:rPr>
        <w:t xml:space="preserve">), </w:t>
      </w:r>
      <w:r w:rsidR="008A716B">
        <w:rPr>
          <w:lang w:val="fr-CH"/>
        </w:rPr>
        <w:t xml:space="preserve">de la protection due aux services existants et de la nécessité d'une harmonisation à l'échelle mondiale, ainsi que du point </w:t>
      </w:r>
      <w:r w:rsidR="008A716B" w:rsidRPr="008A716B">
        <w:rPr>
          <w:i/>
          <w:iCs/>
          <w:lang w:val="fr-CH"/>
        </w:rPr>
        <w:t>b)</w:t>
      </w:r>
      <w:r w:rsidR="008A716B">
        <w:rPr>
          <w:lang w:val="fr-CH"/>
        </w:rPr>
        <w:t xml:space="preserve"> du </w:t>
      </w:r>
      <w:r w:rsidR="008A716B" w:rsidRPr="008A716B">
        <w:rPr>
          <w:i/>
          <w:iCs/>
          <w:lang w:val="fr-CH"/>
        </w:rPr>
        <w:t>notant</w:t>
      </w:r>
      <w:r w:rsidR="008A716B">
        <w:rPr>
          <w:lang w:val="fr-CH"/>
        </w:rPr>
        <w:t>;</w:t>
      </w:r>
    </w:p>
    <w:p w:rsidR="00CB2E6B" w:rsidRPr="00CB2E6B" w:rsidRDefault="001758E8" w:rsidP="00FB1F93">
      <w:pPr>
        <w:rPr>
          <w:rStyle w:val="BRNormal"/>
          <w:lang w:val="fr-CH"/>
        </w:rPr>
      </w:pPr>
      <w:r w:rsidRPr="00CB2E6B">
        <w:rPr>
          <w:rStyle w:val="BRNormal"/>
          <w:lang w:val="fr-CH"/>
        </w:rPr>
        <w:t>3</w:t>
      </w:r>
      <w:r w:rsidRPr="00CB2E6B">
        <w:rPr>
          <w:rStyle w:val="BRNormal"/>
          <w:lang w:val="fr-CH"/>
        </w:rPr>
        <w:tab/>
      </w:r>
      <w:r w:rsidR="008E0FC9">
        <w:rPr>
          <w:rStyle w:val="BRNormal"/>
          <w:lang w:val="fr-CH"/>
        </w:rPr>
        <w:t xml:space="preserve">à </w:t>
      </w:r>
      <w:r w:rsidR="00CB2E6B" w:rsidRPr="00CB2E6B">
        <w:rPr>
          <w:rStyle w:val="BRNormal"/>
          <w:lang w:val="fr-CH"/>
        </w:rPr>
        <w:t xml:space="preserve">étudier les bandes 5 150-5 350 MHz </w:t>
      </w:r>
      <w:r w:rsidR="00CB2E6B">
        <w:rPr>
          <w:rStyle w:val="BRNormal"/>
          <w:lang w:val="fr-CH"/>
        </w:rPr>
        <w:t>et</w:t>
      </w:r>
      <w:r w:rsidR="00CB2E6B" w:rsidRPr="00CB2E6B">
        <w:rPr>
          <w:rStyle w:val="BRNormal"/>
          <w:lang w:val="fr-CH"/>
        </w:rPr>
        <w:t xml:space="preserve"> 5 850-5 925 MHz</w:t>
      </w:r>
      <w:r w:rsidR="00CB2E6B">
        <w:rPr>
          <w:rStyle w:val="BRNormal"/>
          <w:lang w:val="fr-CH"/>
        </w:rPr>
        <w:t xml:space="preserve"> dans l'optique de </w:t>
      </w:r>
      <w:r w:rsidR="00FC043B">
        <w:rPr>
          <w:rStyle w:val="BRNormal"/>
          <w:lang w:val="fr-CH"/>
        </w:rPr>
        <w:t>leur utilisation éventuelle</w:t>
      </w:r>
      <w:r w:rsidR="00CB2E6B">
        <w:rPr>
          <w:rStyle w:val="BRNormal"/>
          <w:lang w:val="fr-CH"/>
        </w:rPr>
        <w:t xml:space="preserve"> pour les systèmes WAS (réseaux RLAN compris) à l'extérieur des bâtiments dans le cadre des attributions existantes au service mobile, compte tenu</w:t>
      </w:r>
      <w:r w:rsidR="00271AF1">
        <w:rPr>
          <w:rStyle w:val="BRNormal"/>
          <w:lang w:val="fr-CH"/>
        </w:rPr>
        <w:t>:</w:t>
      </w:r>
      <w:r w:rsidR="00CB2E6B">
        <w:rPr>
          <w:rStyle w:val="BRNormal"/>
          <w:lang w:val="fr-CH"/>
        </w:rPr>
        <w:t xml:space="preserve"> de</w:t>
      </w:r>
      <w:r w:rsidR="00FB1F93">
        <w:rPr>
          <w:rStyle w:val="BRNormal"/>
          <w:lang w:val="fr-CH"/>
        </w:rPr>
        <w:t xml:space="preserve">s fréquences actuellement </w:t>
      </w:r>
      <w:r w:rsidR="00CB2E6B">
        <w:rPr>
          <w:rStyle w:val="BRNormal"/>
          <w:lang w:val="fr-CH"/>
        </w:rPr>
        <w:t>utilis</w:t>
      </w:r>
      <w:r w:rsidR="00FB1F93">
        <w:rPr>
          <w:rStyle w:val="BRNormal"/>
          <w:lang w:val="fr-CH"/>
        </w:rPr>
        <w:t xml:space="preserve">ées </w:t>
      </w:r>
      <w:r w:rsidR="00CB2E6B">
        <w:rPr>
          <w:rStyle w:val="BRNormal"/>
          <w:lang w:val="fr-CH"/>
        </w:rPr>
        <w:t xml:space="preserve">par l'ensemble des services qui bénéficient d'attributions à titre primaire dans ces bandes et des futurs besoins de spectre de ces services, </w:t>
      </w:r>
      <w:r w:rsidR="00271AF1">
        <w:rPr>
          <w:rStyle w:val="BRNormal"/>
          <w:lang w:val="fr-CH"/>
        </w:rPr>
        <w:t xml:space="preserve">en particulier </w:t>
      </w:r>
      <w:r w:rsidR="008E0FC9">
        <w:rPr>
          <w:rStyle w:val="BRNormal"/>
          <w:lang w:val="fr-CH"/>
        </w:rPr>
        <w:t xml:space="preserve">dans les cas où les besoins opérationnels </w:t>
      </w:r>
      <w:r w:rsidR="00FB1F93">
        <w:rPr>
          <w:rStyle w:val="BRNormal"/>
          <w:lang w:val="fr-CH"/>
        </w:rPr>
        <w:t xml:space="preserve">des systèmes WAS, réseaux RLAN compris, </w:t>
      </w:r>
      <w:r w:rsidR="008E0FC9">
        <w:rPr>
          <w:rStyle w:val="BRNormal"/>
          <w:lang w:val="fr-CH"/>
        </w:rPr>
        <w:t>semblent</w:t>
      </w:r>
      <w:r w:rsidR="00BD59F8">
        <w:rPr>
          <w:rStyle w:val="BRNormal"/>
          <w:lang w:val="fr-CH"/>
        </w:rPr>
        <w:t xml:space="preserve"> </w:t>
      </w:r>
      <w:r w:rsidR="00942661">
        <w:rPr>
          <w:rStyle w:val="BRNormal"/>
          <w:lang w:val="fr-CH"/>
        </w:rPr>
        <w:t xml:space="preserve">destinés à </w:t>
      </w:r>
      <w:r w:rsidR="00946F8B">
        <w:rPr>
          <w:rStyle w:val="BRNormal"/>
          <w:lang w:val="fr-CH"/>
        </w:rPr>
        <w:t>évoluer par rapport au</w:t>
      </w:r>
      <w:r w:rsidR="00BD59F8">
        <w:rPr>
          <w:rStyle w:val="BRNormal"/>
          <w:lang w:val="fr-CH"/>
        </w:rPr>
        <w:t xml:space="preserve"> point </w:t>
      </w:r>
      <w:r w:rsidR="00BD59F8" w:rsidRPr="00271AF1">
        <w:rPr>
          <w:rStyle w:val="BRNormal"/>
          <w:i/>
          <w:iCs/>
          <w:lang w:val="fr-CH"/>
        </w:rPr>
        <w:t>f)</w:t>
      </w:r>
      <w:r w:rsidR="00BD59F8">
        <w:rPr>
          <w:rStyle w:val="BRNormal"/>
          <w:lang w:val="fr-CH"/>
        </w:rPr>
        <w:t xml:space="preserve"> du </w:t>
      </w:r>
      <w:r w:rsidR="00BD59F8" w:rsidRPr="00BD59F8">
        <w:rPr>
          <w:rStyle w:val="BRNormal"/>
          <w:i/>
          <w:iCs/>
          <w:lang w:val="fr-CH"/>
        </w:rPr>
        <w:t>reconnaissant</w:t>
      </w:r>
      <w:r w:rsidR="00271AF1">
        <w:rPr>
          <w:rStyle w:val="BRNormal"/>
          <w:lang w:val="fr-CH"/>
        </w:rPr>
        <w:t>;</w:t>
      </w:r>
      <w:r w:rsidR="008E0FC9">
        <w:rPr>
          <w:rStyle w:val="BRNormal"/>
          <w:lang w:val="fr-CH"/>
        </w:rPr>
        <w:t xml:space="preserve"> des résultats des études de compatibili</w:t>
      </w:r>
      <w:r w:rsidR="004338F3">
        <w:rPr>
          <w:rStyle w:val="BRNormal"/>
          <w:lang w:val="fr-CH"/>
        </w:rPr>
        <w:t>té, y compris, le cas échéant, d</w:t>
      </w:r>
      <w:r w:rsidR="008E0FC9">
        <w:rPr>
          <w:rStyle w:val="BRNormal"/>
          <w:lang w:val="fr-CH"/>
        </w:rPr>
        <w:t>es nouvelles technique</w:t>
      </w:r>
      <w:r w:rsidR="00271AF1">
        <w:rPr>
          <w:rStyle w:val="BRNormal"/>
          <w:lang w:val="fr-CH"/>
        </w:rPr>
        <w:t>s d'atténuation des brouillages;</w:t>
      </w:r>
      <w:r w:rsidR="008E0FC9">
        <w:rPr>
          <w:rStyle w:val="BRNormal"/>
          <w:lang w:val="fr-CH"/>
        </w:rPr>
        <w:t xml:space="preserve"> </w:t>
      </w:r>
      <w:r w:rsidR="00271AF1">
        <w:rPr>
          <w:rStyle w:val="BRNormal"/>
          <w:lang w:val="fr-CH"/>
        </w:rPr>
        <w:t>ainsi que</w:t>
      </w:r>
      <w:r w:rsidR="008E0FC9">
        <w:rPr>
          <w:rStyle w:val="BRNormal"/>
          <w:lang w:val="fr-CH"/>
        </w:rPr>
        <w:t xml:space="preserve"> de la protection due aux services existants et de la nécessité d'une harmonisation </w:t>
      </w:r>
      <w:r w:rsidR="00F578A9">
        <w:rPr>
          <w:rStyle w:val="BRNormal"/>
          <w:lang w:val="fr-CH"/>
        </w:rPr>
        <w:t>à l'échelle mondiale</w:t>
      </w:r>
      <w:r w:rsidR="008E0FC9">
        <w:rPr>
          <w:rStyle w:val="BRNormal"/>
          <w:lang w:val="fr-CH"/>
        </w:rPr>
        <w:t>,</w:t>
      </w:r>
    </w:p>
    <w:p w:rsidR="001758E8" w:rsidRPr="00E33392" w:rsidRDefault="001758E8" w:rsidP="008E0FC9">
      <w:pPr>
        <w:pStyle w:val="Call"/>
        <w:rPr>
          <w:lang w:val="fr-CH"/>
        </w:rPr>
      </w:pPr>
      <w:r w:rsidRPr="00E33392">
        <w:rPr>
          <w:lang w:val="fr-CH"/>
        </w:rPr>
        <w:t>décide d'inviter la CMR</w:t>
      </w:r>
      <w:r w:rsidRPr="00E33392">
        <w:rPr>
          <w:lang w:val="fr-CH"/>
        </w:rPr>
        <w:noBreakHyphen/>
        <w:t>19</w:t>
      </w:r>
    </w:p>
    <w:p w:rsidR="001758E8" w:rsidRPr="001758E8" w:rsidRDefault="001758E8" w:rsidP="008E0FC9">
      <w:pPr>
        <w:rPr>
          <w:lang w:val="fr-CH"/>
        </w:rPr>
      </w:pPr>
      <w:r>
        <w:t>à</w:t>
      </w:r>
      <w:r w:rsidRPr="00CD1956">
        <w:t xml:space="preserve"> examiner les résultats des études susmentionnées et </w:t>
      </w:r>
      <w:r>
        <w:t xml:space="preserve">à </w:t>
      </w:r>
      <w:r w:rsidRPr="00CD1956">
        <w:t>prendre les mesures appropriées</w:t>
      </w:r>
      <w:r w:rsidR="008E0FC9">
        <w:t>,</w:t>
      </w:r>
    </w:p>
    <w:p w:rsidR="001758E8" w:rsidRPr="001758E8" w:rsidRDefault="001758E8" w:rsidP="008E0FC9">
      <w:pPr>
        <w:pStyle w:val="Call"/>
        <w:rPr>
          <w:lang w:val="fr-CH"/>
        </w:rPr>
      </w:pPr>
      <w:r w:rsidRPr="001758E8">
        <w:rPr>
          <w:lang w:val="fr-CH"/>
        </w:rPr>
        <w:t>encourage les administrations</w:t>
      </w:r>
    </w:p>
    <w:p w:rsidR="001758E8" w:rsidRPr="001758E8" w:rsidRDefault="001758E8" w:rsidP="00FB1F93">
      <w:pPr>
        <w:rPr>
          <w:lang w:val="fr-CH"/>
        </w:rPr>
      </w:pPr>
      <w:r w:rsidRPr="00A7306B">
        <w:rPr>
          <w:lang w:eastAsia="nl-NL"/>
        </w:rPr>
        <w:t>à soumettre des contributions pendant la période d</w:t>
      </w:r>
      <w:r>
        <w:rPr>
          <w:lang w:eastAsia="nl-NL"/>
        </w:rPr>
        <w:t xml:space="preserve">'études sur leur </w:t>
      </w:r>
      <w:r w:rsidRPr="00A7306B">
        <w:rPr>
          <w:lang w:eastAsia="nl-NL"/>
        </w:rPr>
        <w:t xml:space="preserve">évaluation </w:t>
      </w:r>
      <w:r>
        <w:rPr>
          <w:lang w:eastAsia="nl-NL"/>
        </w:rPr>
        <w:t xml:space="preserve">des </w:t>
      </w:r>
      <w:r w:rsidRPr="00A7306B">
        <w:rPr>
          <w:lang w:eastAsia="nl-NL"/>
        </w:rPr>
        <w:t>incidence</w:t>
      </w:r>
      <w:r>
        <w:rPr>
          <w:lang w:eastAsia="nl-NL"/>
        </w:rPr>
        <w:t>s</w:t>
      </w:r>
      <w:r w:rsidRPr="00A7306B">
        <w:rPr>
          <w:lang w:eastAsia="nl-NL"/>
        </w:rPr>
        <w:t xml:space="preserve"> sur les </w:t>
      </w:r>
      <w:r w:rsidRPr="00A7306B">
        <w:rPr>
          <w:szCs w:val="24"/>
          <w:lang w:eastAsia="nl-NL"/>
        </w:rPr>
        <w:t>service</w:t>
      </w:r>
      <w:r w:rsidRPr="00A7306B">
        <w:rPr>
          <w:lang w:eastAsia="nl-NL"/>
        </w:rPr>
        <w:t xml:space="preserve">s existants, sur la base des études </w:t>
      </w:r>
      <w:r w:rsidR="00FB1F93">
        <w:rPr>
          <w:lang w:eastAsia="nl-NL"/>
        </w:rPr>
        <w:t>men</w:t>
      </w:r>
      <w:r w:rsidRPr="00A7306B">
        <w:rPr>
          <w:lang w:eastAsia="nl-NL"/>
        </w:rPr>
        <w:t>ées au titre de la présente Résolution,</w:t>
      </w:r>
    </w:p>
    <w:p w:rsidR="001758E8" w:rsidRDefault="001758E8" w:rsidP="008E0FC9">
      <w:pPr>
        <w:pStyle w:val="Call"/>
        <w:rPr>
          <w:lang w:val="fr-CH"/>
        </w:rPr>
      </w:pPr>
      <w:r>
        <w:rPr>
          <w:lang w:val="fr-CH"/>
        </w:rPr>
        <w:t>invite les administrations</w:t>
      </w:r>
    </w:p>
    <w:p w:rsidR="001758E8" w:rsidRPr="002D3814" w:rsidRDefault="001758E8" w:rsidP="008E0FC9">
      <w:pPr>
        <w:rPr>
          <w:i/>
          <w:lang w:val="fr-CH"/>
        </w:rPr>
      </w:pPr>
      <w:r w:rsidRPr="00A7306B">
        <w:rPr>
          <w:lang w:eastAsia="nl-NL"/>
        </w:rPr>
        <w:t>à participer aux études en soumettant des contributions à l</w:t>
      </w:r>
      <w:r>
        <w:rPr>
          <w:lang w:eastAsia="nl-NL"/>
        </w:rPr>
        <w:t>'</w:t>
      </w:r>
      <w:r w:rsidRPr="00A7306B">
        <w:rPr>
          <w:lang w:eastAsia="nl-NL"/>
        </w:rPr>
        <w:t>UIT</w:t>
      </w:r>
      <w:r w:rsidRPr="00A7306B">
        <w:rPr>
          <w:lang w:eastAsia="nl-NL"/>
        </w:rPr>
        <w:noBreakHyphen/>
        <w:t>R.</w:t>
      </w:r>
      <w:r w:rsidRPr="002D3814">
        <w:rPr>
          <w:lang w:val="fr-CH" w:eastAsia="nl-NL"/>
        </w:rPr>
        <w:t xml:space="preserve"> </w:t>
      </w:r>
    </w:p>
    <w:p w:rsidR="001758E8" w:rsidRDefault="001758E8" w:rsidP="008E0FC9">
      <w:pPr>
        <w:tabs>
          <w:tab w:val="clear" w:pos="1134"/>
          <w:tab w:val="clear" w:pos="1871"/>
          <w:tab w:val="clear" w:pos="2268"/>
        </w:tabs>
        <w:overflowPunct/>
        <w:autoSpaceDE/>
        <w:autoSpaceDN/>
        <w:adjustRightInd/>
        <w:spacing w:before="0"/>
        <w:textAlignment w:val="auto"/>
        <w:rPr>
          <w:lang w:val="fr-CH"/>
        </w:rPr>
      </w:pPr>
      <w:r>
        <w:rPr>
          <w:lang w:val="fr-CH"/>
        </w:rPr>
        <w:br w:type="page"/>
      </w:r>
    </w:p>
    <w:p w:rsidR="001758E8" w:rsidRPr="002E7DE2" w:rsidRDefault="00DD26E4" w:rsidP="001758E8">
      <w:pPr>
        <w:pStyle w:val="AnnexNo"/>
      </w:pPr>
      <w:r>
        <w:lastRenderedPageBreak/>
        <w:t>ANNEXE 2 de la résolution 804 (cmr-07)</w:t>
      </w:r>
    </w:p>
    <w:p w:rsidR="001758E8" w:rsidRPr="00962E61" w:rsidRDefault="00962E61" w:rsidP="00962E61">
      <w:pPr>
        <w:pStyle w:val="Annextitle"/>
        <w:rPr>
          <w:lang w:val="fr-CH"/>
        </w:rPr>
      </w:pPr>
      <w:r>
        <w:rPr>
          <w:lang w:val="fr-CH"/>
        </w:rPr>
        <w:t>Proposition</w:t>
      </w:r>
      <w:r w:rsidRPr="00962E61">
        <w:rPr>
          <w:lang w:val="fr-CH"/>
        </w:rPr>
        <w:t xml:space="preserve"> de point de l'ordre du jour</w:t>
      </w:r>
      <w:r>
        <w:rPr>
          <w:lang w:val="fr-CH"/>
        </w:rPr>
        <w:t xml:space="preserve"> concernant les technologies de </w:t>
      </w:r>
      <w:r w:rsidR="006D669A">
        <w:rPr>
          <w:lang w:val="fr-CH"/>
        </w:rPr>
        <w:t>partage des fréquences</w:t>
      </w:r>
      <w:r>
        <w:rPr>
          <w:lang w:val="fr-CH"/>
        </w:rPr>
        <w:t>, les mécanismes et techniques d'atténuation des brouillages supplémentaires pour le partage dans la bande, applicables aux systèmes d'accès hertzien, réseaux locaux hertziens compris, dans la gamme des 5 GHz</w:t>
      </w:r>
    </w:p>
    <w:tbl>
      <w:tblPr>
        <w:tblpPr w:leftFromText="180" w:rightFromText="180" w:vertAnchor="text" w:tblpY="1"/>
        <w:tblOverlap w:val="never"/>
        <w:tblW w:w="0" w:type="auto"/>
        <w:tblLook w:val="04A0" w:firstRow="1" w:lastRow="0" w:firstColumn="1" w:lastColumn="0" w:noHBand="0" w:noVBand="1"/>
      </w:tblPr>
      <w:tblGrid>
        <w:gridCol w:w="1101"/>
        <w:gridCol w:w="3719"/>
        <w:gridCol w:w="4819"/>
      </w:tblGrid>
      <w:tr w:rsidR="001758E8" w:rsidRPr="00962E61" w:rsidTr="002B0C66">
        <w:trPr>
          <w:cantSplit/>
        </w:trPr>
        <w:tc>
          <w:tcPr>
            <w:tcW w:w="1101" w:type="dxa"/>
            <w:tcBorders>
              <w:left w:val="nil"/>
              <w:right w:val="nil"/>
            </w:tcBorders>
          </w:tcPr>
          <w:p w:rsidR="001758E8" w:rsidRPr="00962E61" w:rsidRDefault="00D7036D" w:rsidP="002B0C66">
            <w:pPr>
              <w:rPr>
                <w:rStyle w:val="Emphasis"/>
              </w:rPr>
            </w:pPr>
            <w:r w:rsidRPr="00962E61">
              <w:rPr>
                <w:rStyle w:val="Emphasis"/>
                <w:b/>
                <w:bCs/>
              </w:rPr>
              <w:t>Objet</w:t>
            </w:r>
            <w:r w:rsidR="001758E8" w:rsidRPr="00962E61">
              <w:rPr>
                <w:rStyle w:val="Emphasis"/>
                <w:b/>
                <w:bCs/>
              </w:rPr>
              <w:t>:</w:t>
            </w:r>
            <w:r w:rsidR="001758E8" w:rsidRPr="00962E61">
              <w:rPr>
                <w:rStyle w:val="Emphasis"/>
              </w:rPr>
              <w:t xml:space="preserve"> </w:t>
            </w:r>
          </w:p>
        </w:tc>
        <w:tc>
          <w:tcPr>
            <w:tcW w:w="8754" w:type="dxa"/>
            <w:gridSpan w:val="2"/>
            <w:tcBorders>
              <w:left w:val="nil"/>
              <w:right w:val="nil"/>
            </w:tcBorders>
          </w:tcPr>
          <w:p w:rsidR="001758E8" w:rsidRPr="00962E61" w:rsidRDefault="00962E61" w:rsidP="00644A16">
            <w:pPr>
              <w:rPr>
                <w:rStyle w:val="BRNormal"/>
                <w:lang w:val="fr-CH"/>
              </w:rPr>
            </w:pPr>
            <w:r w:rsidRPr="00962E61">
              <w:rPr>
                <w:rStyle w:val="BRNormal"/>
                <w:lang w:val="fr-CH"/>
              </w:rPr>
              <w:t xml:space="preserve">Examiner les technologies de </w:t>
            </w:r>
            <w:r w:rsidR="006D669A">
              <w:rPr>
                <w:rStyle w:val="BRNormal"/>
                <w:lang w:val="fr-CH"/>
              </w:rPr>
              <w:t>partage des fréquences</w:t>
            </w:r>
            <w:r>
              <w:rPr>
                <w:rStyle w:val="BRNormal"/>
                <w:lang w:val="fr-CH"/>
              </w:rPr>
              <w:t xml:space="preserve">, les mécanismes </w:t>
            </w:r>
            <w:r w:rsidR="004338F3">
              <w:rPr>
                <w:rStyle w:val="BRNormal"/>
                <w:lang w:val="fr-CH"/>
              </w:rPr>
              <w:t>ou</w:t>
            </w:r>
            <w:r w:rsidRPr="00962E61">
              <w:rPr>
                <w:rStyle w:val="BRNormal"/>
                <w:lang w:val="fr-CH"/>
              </w:rPr>
              <w:t xml:space="preserve"> techniques d'atténuation des brouillages supplémentaires pour le partage </w:t>
            </w:r>
            <w:r>
              <w:rPr>
                <w:rStyle w:val="BRNormal"/>
                <w:lang w:val="fr-CH"/>
              </w:rPr>
              <w:t>dans la bande</w:t>
            </w:r>
            <w:r w:rsidRPr="00962E61">
              <w:rPr>
                <w:rStyle w:val="BRNormal"/>
                <w:lang w:val="fr-CH"/>
              </w:rPr>
              <w:t xml:space="preserve">, qui pourraient </w:t>
            </w:r>
            <w:r>
              <w:rPr>
                <w:rStyle w:val="BRNormal"/>
                <w:lang w:val="fr-CH"/>
              </w:rPr>
              <w:t xml:space="preserve">être appliqués aux systèmes d'accès hertzien (WAS), réseaux locaux hertziens compris, dans la gamme des 5 GHz, et prendre les mesures appropriées, conformément au projet de nouvelle Résolution </w:t>
            </w:r>
            <w:r w:rsidRPr="00962E61">
              <w:rPr>
                <w:rStyle w:val="Strong"/>
                <w:lang w:val="fr-CH"/>
              </w:rPr>
              <w:t>[81-B24-5GHz] (CM</w:t>
            </w:r>
            <w:r w:rsidR="00644A16">
              <w:rPr>
                <w:rStyle w:val="Strong"/>
                <w:lang w:val="fr-CH"/>
              </w:rPr>
              <w:t>R</w:t>
            </w:r>
            <w:r w:rsidRPr="00962E61">
              <w:rPr>
                <w:rStyle w:val="Strong"/>
                <w:lang w:val="fr-CH"/>
              </w:rPr>
              <w:t>-15)</w:t>
            </w:r>
          </w:p>
        </w:tc>
      </w:tr>
      <w:tr w:rsidR="001758E8" w:rsidRPr="00D7036D" w:rsidTr="002B0C66">
        <w:trPr>
          <w:cantSplit/>
        </w:trPr>
        <w:tc>
          <w:tcPr>
            <w:tcW w:w="1101" w:type="dxa"/>
            <w:tcBorders>
              <w:left w:val="nil"/>
              <w:bottom w:val="single" w:sz="4" w:space="0" w:color="auto"/>
              <w:right w:val="nil"/>
            </w:tcBorders>
          </w:tcPr>
          <w:p w:rsidR="001758E8" w:rsidRPr="00962E61" w:rsidRDefault="001758E8" w:rsidP="002B0C66">
            <w:pPr>
              <w:rPr>
                <w:rStyle w:val="Emphasis"/>
              </w:rPr>
            </w:pPr>
            <w:r w:rsidRPr="00962E61">
              <w:rPr>
                <w:rStyle w:val="Emphasis"/>
                <w:b/>
                <w:bCs/>
              </w:rPr>
              <w:t>Origin</w:t>
            </w:r>
            <w:r w:rsidR="00D7036D" w:rsidRPr="00962E61">
              <w:rPr>
                <w:rStyle w:val="Emphasis"/>
                <w:b/>
                <w:bCs/>
              </w:rPr>
              <w:t>e</w:t>
            </w:r>
            <w:r w:rsidRPr="00962E61">
              <w:rPr>
                <w:rStyle w:val="Emphasis"/>
              </w:rPr>
              <w:t>:</w:t>
            </w:r>
          </w:p>
        </w:tc>
        <w:tc>
          <w:tcPr>
            <w:tcW w:w="8754" w:type="dxa"/>
            <w:gridSpan w:val="2"/>
            <w:tcBorders>
              <w:left w:val="nil"/>
              <w:bottom w:val="single" w:sz="4" w:space="0" w:color="auto"/>
              <w:right w:val="nil"/>
            </w:tcBorders>
          </w:tcPr>
          <w:p w:rsidR="00962E61" w:rsidRPr="00E61016" w:rsidRDefault="00D7036D" w:rsidP="00E61016">
            <w:pPr>
              <w:rPr>
                <w:rStyle w:val="BRNormal"/>
                <w:lang w:val="fr-CH"/>
              </w:rPr>
            </w:pPr>
            <w:r w:rsidRPr="00D7036D">
              <w:rPr>
                <w:lang w:val="fr-CH"/>
              </w:rPr>
              <w:t>Danemark</w:t>
            </w:r>
            <w:r w:rsidR="001758E8" w:rsidRPr="00D7036D">
              <w:rPr>
                <w:rStyle w:val="BRNormal"/>
                <w:lang w:val="fr-CH"/>
              </w:rPr>
              <w:t xml:space="preserve">, France, </w:t>
            </w:r>
            <w:r w:rsidRPr="00D7036D">
              <w:rPr>
                <w:lang w:val="fr-CH"/>
              </w:rPr>
              <w:t>Grèce</w:t>
            </w:r>
            <w:r w:rsidR="001758E8" w:rsidRPr="00D7036D">
              <w:rPr>
                <w:rStyle w:val="BRNormal"/>
                <w:lang w:val="fr-CH"/>
              </w:rPr>
              <w:t xml:space="preserve">, </w:t>
            </w:r>
            <w:r w:rsidRPr="00D7036D">
              <w:rPr>
                <w:lang w:val="fr-CH"/>
              </w:rPr>
              <w:t>Hongrie</w:t>
            </w:r>
            <w:r w:rsidR="001758E8" w:rsidRPr="00D7036D">
              <w:rPr>
                <w:rStyle w:val="BRNormal"/>
                <w:lang w:val="fr-CH"/>
              </w:rPr>
              <w:t xml:space="preserve">, </w:t>
            </w:r>
            <w:r w:rsidRPr="00D7036D">
              <w:rPr>
                <w:lang w:val="fr-CH"/>
              </w:rPr>
              <w:t>Islande, République tchèque</w:t>
            </w:r>
            <w:r w:rsidR="001758E8" w:rsidRPr="00D7036D">
              <w:rPr>
                <w:rStyle w:val="BRNormal"/>
                <w:lang w:val="fr-CH"/>
              </w:rPr>
              <w:t xml:space="preserve">, </w:t>
            </w:r>
            <w:r w:rsidRPr="00323248">
              <w:rPr>
                <w:lang w:val="fr-CH"/>
              </w:rPr>
              <w:t>Royaume-Uni de Grande-Bretagne</w:t>
            </w:r>
            <w:r w:rsidR="001758E8" w:rsidRPr="00D7036D">
              <w:rPr>
                <w:rStyle w:val="BRNormal"/>
                <w:lang w:val="fr-CH"/>
              </w:rPr>
              <w:t xml:space="preserve"> </w:t>
            </w:r>
            <w:r>
              <w:rPr>
                <w:rStyle w:val="BRNormal"/>
                <w:lang w:val="fr-CH"/>
              </w:rPr>
              <w:t>et</w:t>
            </w:r>
            <w:r w:rsidR="001758E8" w:rsidRPr="00D7036D">
              <w:rPr>
                <w:rStyle w:val="BRNormal"/>
                <w:lang w:val="fr-CH"/>
              </w:rPr>
              <w:t xml:space="preserve"> </w:t>
            </w:r>
            <w:r w:rsidRPr="00323248">
              <w:rPr>
                <w:lang w:val="fr-CH"/>
              </w:rPr>
              <w:t>d'Irlande du Nord</w:t>
            </w:r>
            <w:r w:rsidR="001758E8" w:rsidRPr="00D7036D">
              <w:rPr>
                <w:rStyle w:val="BRNormal"/>
                <w:lang w:val="fr-CH"/>
              </w:rPr>
              <w:t xml:space="preserve">, </w:t>
            </w:r>
            <w:r w:rsidRPr="00323248">
              <w:rPr>
                <w:lang w:val="fr-CH"/>
              </w:rPr>
              <w:t>Slovénie (République de)</w:t>
            </w:r>
            <w:r w:rsidR="001758E8" w:rsidRPr="00D7036D">
              <w:rPr>
                <w:rStyle w:val="BRNormal"/>
                <w:lang w:val="fr-CH"/>
              </w:rPr>
              <w:t xml:space="preserve">, </w:t>
            </w:r>
            <w:r w:rsidRPr="00323248">
              <w:rPr>
                <w:lang w:val="fr-CH"/>
              </w:rPr>
              <w:t>Suède</w:t>
            </w:r>
            <w:r>
              <w:rPr>
                <w:lang w:val="fr-CH"/>
              </w:rPr>
              <w:t>,</w:t>
            </w:r>
            <w:r w:rsidRPr="00323248">
              <w:rPr>
                <w:lang w:val="fr-CH"/>
              </w:rPr>
              <w:t xml:space="preserve"> Turquie</w:t>
            </w:r>
          </w:p>
        </w:tc>
      </w:tr>
      <w:tr w:rsidR="001758E8" w:rsidRPr="00962E61" w:rsidTr="002B0C66">
        <w:tc>
          <w:tcPr>
            <w:tcW w:w="9855" w:type="dxa"/>
            <w:gridSpan w:val="3"/>
            <w:tcBorders>
              <w:top w:val="single" w:sz="4" w:space="0" w:color="auto"/>
              <w:left w:val="nil"/>
              <w:bottom w:val="single" w:sz="4" w:space="0" w:color="auto"/>
              <w:right w:val="nil"/>
            </w:tcBorders>
          </w:tcPr>
          <w:p w:rsidR="00962E61" w:rsidRPr="00E61016" w:rsidRDefault="00D7036D" w:rsidP="00E61016">
            <w:pPr>
              <w:rPr>
                <w:rStyle w:val="BRNormal"/>
                <w:lang w:val="fr-CH"/>
              </w:rPr>
            </w:pPr>
            <w:r w:rsidRPr="00962E61">
              <w:rPr>
                <w:rStyle w:val="Emphasis"/>
                <w:b/>
                <w:bCs/>
                <w:lang w:val="fr-CH"/>
              </w:rPr>
              <w:t>Proposition</w:t>
            </w:r>
            <w:r w:rsidR="001758E8" w:rsidRPr="00962E61">
              <w:rPr>
                <w:rStyle w:val="Emphasis"/>
                <w:lang w:val="fr-CH"/>
              </w:rPr>
              <w:t>:</w:t>
            </w:r>
            <w:r w:rsidR="00962E61">
              <w:rPr>
                <w:rStyle w:val="Emphasis"/>
                <w:lang w:val="fr-CH"/>
              </w:rPr>
              <w:tab/>
            </w:r>
            <w:r w:rsidR="00962E61">
              <w:rPr>
                <w:rStyle w:val="BRNormal"/>
                <w:lang w:val="fr-CH"/>
              </w:rPr>
              <w:t>e</w:t>
            </w:r>
            <w:r w:rsidR="00962E61" w:rsidRPr="00962E61">
              <w:rPr>
                <w:rStyle w:val="BRNormal"/>
                <w:lang w:val="fr-CH"/>
              </w:rPr>
              <w:t xml:space="preserve">xaminer les technologies de </w:t>
            </w:r>
            <w:r w:rsidR="006D669A">
              <w:rPr>
                <w:rStyle w:val="BRNormal"/>
                <w:lang w:val="fr-CH"/>
              </w:rPr>
              <w:t>partage des fréquences</w:t>
            </w:r>
            <w:r w:rsidR="00475787">
              <w:rPr>
                <w:rStyle w:val="BRNormal"/>
                <w:lang w:val="fr-CH"/>
              </w:rPr>
              <w:t>, les mécanismes ou</w:t>
            </w:r>
            <w:r w:rsidR="00962E61" w:rsidRPr="00962E61">
              <w:rPr>
                <w:rStyle w:val="BRNormal"/>
                <w:lang w:val="fr-CH"/>
              </w:rPr>
              <w:t xml:space="preserve"> techniques d'atténuation des brouillages supplémentaires pour le partage </w:t>
            </w:r>
            <w:r w:rsidR="00962E61">
              <w:rPr>
                <w:rStyle w:val="BRNormal"/>
                <w:lang w:val="fr-CH"/>
              </w:rPr>
              <w:t>dans la bande</w:t>
            </w:r>
            <w:r w:rsidR="00962E61" w:rsidRPr="00962E61">
              <w:rPr>
                <w:rStyle w:val="BRNormal"/>
                <w:lang w:val="fr-CH"/>
              </w:rPr>
              <w:t xml:space="preserve">, qui pourraient </w:t>
            </w:r>
            <w:r w:rsidR="00962E61">
              <w:rPr>
                <w:rStyle w:val="BRNormal"/>
                <w:lang w:val="fr-CH"/>
              </w:rPr>
              <w:t xml:space="preserve">être appliqués aux systèmes d'accès hertzien (WAS), réseaux locaux hertziens compris, dans la gamme des 5 GHz, et prendre les mesures appropriées, conformément au projet de nouvelle Résolution </w:t>
            </w:r>
            <w:r w:rsidR="00962E61" w:rsidRPr="00962E61">
              <w:rPr>
                <w:rStyle w:val="Strong"/>
                <w:lang w:val="fr-CH"/>
              </w:rPr>
              <w:t>[81-B24-5GHz] (CM</w:t>
            </w:r>
            <w:r w:rsidR="00644A16">
              <w:rPr>
                <w:rStyle w:val="Strong"/>
                <w:lang w:val="fr-CH"/>
              </w:rPr>
              <w:t>R</w:t>
            </w:r>
            <w:r w:rsidR="00962E61" w:rsidRPr="00962E61">
              <w:rPr>
                <w:rStyle w:val="Strong"/>
                <w:lang w:val="fr-CH"/>
              </w:rPr>
              <w:t>-15)</w:t>
            </w:r>
            <w:r w:rsidR="00962E61">
              <w:rPr>
                <w:rStyle w:val="BRNormal"/>
                <w:lang w:val="fr-CH"/>
              </w:rPr>
              <w:t>.</w:t>
            </w:r>
          </w:p>
        </w:tc>
      </w:tr>
      <w:tr w:rsidR="001758E8" w:rsidRPr="006D669A" w:rsidTr="002B0C66">
        <w:tc>
          <w:tcPr>
            <w:tcW w:w="9855" w:type="dxa"/>
            <w:gridSpan w:val="3"/>
            <w:tcBorders>
              <w:top w:val="single" w:sz="4" w:space="0" w:color="auto"/>
              <w:left w:val="nil"/>
              <w:bottom w:val="single" w:sz="4" w:space="0" w:color="auto"/>
              <w:right w:val="nil"/>
            </w:tcBorders>
          </w:tcPr>
          <w:p w:rsidR="001758E8" w:rsidRPr="002B0C66" w:rsidRDefault="00D7036D" w:rsidP="002B0C66">
            <w:pPr>
              <w:rPr>
                <w:rStyle w:val="Emphasis"/>
              </w:rPr>
            </w:pPr>
            <w:r w:rsidRPr="002B0C66">
              <w:rPr>
                <w:rStyle w:val="Emphasis"/>
                <w:b/>
                <w:bCs/>
              </w:rPr>
              <w:t>Contexte/motif</w:t>
            </w:r>
            <w:r w:rsidR="001758E8" w:rsidRPr="002B0C66">
              <w:rPr>
                <w:rStyle w:val="Emphasis"/>
              </w:rPr>
              <w:t>:</w:t>
            </w:r>
          </w:p>
          <w:p w:rsidR="00962E61" w:rsidRDefault="00962E61" w:rsidP="002B0C66">
            <w:pPr>
              <w:rPr>
                <w:rStyle w:val="BRNormal"/>
                <w:lang w:val="fr-CH"/>
              </w:rPr>
            </w:pPr>
            <w:r w:rsidRPr="00962E61">
              <w:rPr>
                <w:rStyle w:val="BRNormal"/>
                <w:lang w:val="fr-CH"/>
              </w:rPr>
              <w:t xml:space="preserve">Dans le cadre des travaux préparatoires en vue de la CMR-15, l'UIT-R a entrepris des études </w:t>
            </w:r>
            <w:r w:rsidR="002B0C66">
              <w:rPr>
                <w:rStyle w:val="BRNormal"/>
                <w:lang w:val="fr-CH"/>
              </w:rPr>
              <w:t>au titre de</w:t>
            </w:r>
            <w:r w:rsidRPr="00962E61">
              <w:rPr>
                <w:rStyle w:val="BRNormal"/>
                <w:lang w:val="fr-CH"/>
              </w:rPr>
              <w:t xml:space="preserve"> la Résolution </w:t>
            </w:r>
            <w:r w:rsidRPr="002B0C66">
              <w:rPr>
                <w:rStyle w:val="BRNormal"/>
                <w:b/>
                <w:bCs/>
                <w:lang w:val="fr-CH"/>
              </w:rPr>
              <w:t>233 (CMR-12)</w:t>
            </w:r>
            <w:r w:rsidRPr="00962E61">
              <w:rPr>
                <w:rStyle w:val="BRNormal"/>
                <w:lang w:val="fr-CH"/>
              </w:rPr>
              <w:t xml:space="preserve"> </w:t>
            </w:r>
            <w:r w:rsidR="002B0C66">
              <w:rPr>
                <w:rStyle w:val="BRNormal"/>
                <w:lang w:val="fr-CH"/>
              </w:rPr>
              <w:t>sur les questions liées aux fréquences pour les télécommunications mobiles internationales et d'autres applications mobiles à large bande de Terre.</w:t>
            </w:r>
          </w:p>
          <w:p w:rsidR="002B0C66" w:rsidRDefault="002B0C66" w:rsidP="006D71FC">
            <w:pPr>
              <w:rPr>
                <w:color w:val="000000" w:themeColor="text1"/>
                <w:lang w:val="fr-CH"/>
              </w:rPr>
            </w:pPr>
            <w:r>
              <w:rPr>
                <w:lang w:val="fr-CH"/>
              </w:rPr>
              <w:t>La</w:t>
            </w:r>
            <w:r w:rsidRPr="00264D76">
              <w:rPr>
                <w:lang w:val="fr-CH"/>
              </w:rPr>
              <w:t xml:space="preserve"> demande </w:t>
            </w:r>
            <w:r>
              <w:rPr>
                <w:lang w:val="fr-CH"/>
              </w:rPr>
              <w:t xml:space="preserve">d'applications </w:t>
            </w:r>
            <w:r w:rsidRPr="00264D76">
              <w:rPr>
                <w:lang w:val="fr-CH"/>
              </w:rPr>
              <w:t>de</w:t>
            </w:r>
            <w:r>
              <w:rPr>
                <w:lang w:val="fr-CH"/>
              </w:rPr>
              <w:t>s</w:t>
            </w:r>
            <w:r w:rsidRPr="00264D76">
              <w:rPr>
                <w:lang w:val="fr-CH"/>
              </w:rPr>
              <w:t xml:space="preserve"> systèmes d'accès hertzien (WAS) large bande</w:t>
            </w:r>
            <w:r>
              <w:rPr>
                <w:lang w:val="fr-CH"/>
              </w:rPr>
              <w:t xml:space="preserve">, </w:t>
            </w:r>
            <w:r w:rsidRPr="00264D76">
              <w:rPr>
                <w:lang w:val="fr-CH"/>
              </w:rPr>
              <w:t>résea</w:t>
            </w:r>
            <w:r>
              <w:rPr>
                <w:lang w:val="fr-CH"/>
              </w:rPr>
              <w:t>u</w:t>
            </w:r>
            <w:r w:rsidRPr="00264D76">
              <w:rPr>
                <w:lang w:val="fr-CH"/>
              </w:rPr>
              <w:t xml:space="preserve">x </w:t>
            </w:r>
            <w:r>
              <w:rPr>
                <w:lang w:val="fr-CH"/>
              </w:rPr>
              <w:t>locaux</w:t>
            </w:r>
            <w:r w:rsidRPr="00264D76">
              <w:rPr>
                <w:lang w:val="fr-CH"/>
              </w:rPr>
              <w:t xml:space="preserve"> </w:t>
            </w:r>
            <w:r w:rsidR="004338F3">
              <w:rPr>
                <w:lang w:val="fr-CH"/>
              </w:rPr>
              <w:t>hertziens (RLAN)</w:t>
            </w:r>
            <w:r>
              <w:rPr>
                <w:lang w:val="fr-CH"/>
              </w:rPr>
              <w:t xml:space="preserve"> </w:t>
            </w:r>
            <w:r w:rsidR="004338F3">
              <w:rPr>
                <w:lang w:val="fr-CH"/>
              </w:rPr>
              <w:t xml:space="preserve">compris, </w:t>
            </w:r>
            <w:r>
              <w:rPr>
                <w:lang w:val="fr-CH"/>
              </w:rPr>
              <w:t xml:space="preserve">munies de fonctionnalités multimédias a considérablement augmenté, et </w:t>
            </w:r>
            <w:r w:rsidRPr="004373ED">
              <w:rPr>
                <w:lang w:val="fr-CH"/>
              </w:rPr>
              <w:t xml:space="preserve">dans tous les pays où </w:t>
            </w:r>
            <w:r>
              <w:rPr>
                <w:lang w:val="fr-CH"/>
              </w:rPr>
              <w:t xml:space="preserve">des applications </w:t>
            </w:r>
            <w:r w:rsidRPr="004373ED">
              <w:rPr>
                <w:lang w:val="fr-CH"/>
              </w:rPr>
              <w:t xml:space="preserve">des </w:t>
            </w:r>
            <w:r>
              <w:rPr>
                <w:lang w:val="fr-CH"/>
              </w:rPr>
              <w:t>systèmes WAS large bande, réseaux RLAN compris,</w:t>
            </w:r>
            <w:r w:rsidRPr="004373ED">
              <w:rPr>
                <w:lang w:val="fr-CH"/>
              </w:rPr>
              <w:t xml:space="preserve"> sont déployé</w:t>
            </w:r>
            <w:r>
              <w:rPr>
                <w:lang w:val="fr-CH"/>
              </w:rPr>
              <w:t>e</w:t>
            </w:r>
            <w:r w:rsidRPr="004373ED">
              <w:rPr>
                <w:lang w:val="fr-CH"/>
              </w:rPr>
              <w:t>s, on observe une augmentation constante et importante du nombre d</w:t>
            </w:r>
            <w:r>
              <w:rPr>
                <w:lang w:val="fr-CH"/>
              </w:rPr>
              <w:t>'</w:t>
            </w:r>
            <w:r w:rsidRPr="004373ED">
              <w:rPr>
                <w:lang w:val="fr-CH"/>
              </w:rPr>
              <w:t>utilisateurs de ces systèmes ainsi que du volume et du débit des données acheminées, augmentati</w:t>
            </w:r>
            <w:r>
              <w:rPr>
                <w:lang w:val="fr-CH"/>
              </w:rPr>
              <w:t>o</w:t>
            </w:r>
            <w:r w:rsidR="00644A16">
              <w:rPr>
                <w:lang w:val="fr-CH"/>
              </w:rPr>
              <w:t>n lié</w:t>
            </w:r>
            <w:r>
              <w:rPr>
                <w:lang w:val="fr-CH"/>
              </w:rPr>
              <w:t xml:space="preserve">e essentiellement, dans </w:t>
            </w:r>
            <w:r w:rsidR="006D71FC">
              <w:rPr>
                <w:lang w:val="fr-CH"/>
              </w:rPr>
              <w:t>le second</w:t>
            </w:r>
            <w:r>
              <w:rPr>
                <w:lang w:val="fr-CH"/>
              </w:rPr>
              <w:t xml:space="preserve"> cas, aux contenus audiovisuels. De plus, l</w:t>
            </w:r>
            <w:r w:rsidRPr="003F7CEF">
              <w:rPr>
                <w:lang w:val="fr-CH"/>
              </w:rPr>
              <w:t>e</w:t>
            </w:r>
            <w:r>
              <w:rPr>
                <w:lang w:val="fr-CH"/>
              </w:rPr>
              <w:t>s applications des</w:t>
            </w:r>
            <w:r w:rsidRPr="003F7CEF">
              <w:rPr>
                <w:lang w:val="fr-CH"/>
              </w:rPr>
              <w:t xml:space="preserve"> système</w:t>
            </w:r>
            <w:r>
              <w:rPr>
                <w:lang w:val="fr-CH"/>
              </w:rPr>
              <w:t>s</w:t>
            </w:r>
            <w:r w:rsidRPr="003F7CEF">
              <w:rPr>
                <w:lang w:val="fr-CH"/>
              </w:rPr>
              <w:t xml:space="preserve"> </w:t>
            </w:r>
            <w:r>
              <w:rPr>
                <w:lang w:val="fr-CH"/>
              </w:rPr>
              <w:t>WAS</w:t>
            </w:r>
            <w:r w:rsidR="00644A16">
              <w:rPr>
                <w:lang w:val="fr-CH"/>
              </w:rPr>
              <w:t xml:space="preserve"> large bande</w:t>
            </w:r>
            <w:r>
              <w:rPr>
                <w:lang w:val="fr-CH"/>
              </w:rPr>
              <w:t>, réseaux RLAN compris,</w:t>
            </w:r>
            <w:r w:rsidRPr="003F7CEF">
              <w:rPr>
                <w:lang w:val="fr-CH"/>
              </w:rPr>
              <w:t xml:space="preserve"> </w:t>
            </w:r>
            <w:r>
              <w:rPr>
                <w:lang w:val="fr-CH"/>
              </w:rPr>
              <w:t>co</w:t>
            </w:r>
            <w:r w:rsidRPr="003F7CEF">
              <w:rPr>
                <w:lang w:val="fr-CH"/>
              </w:rPr>
              <w:t>ntribuent au développement</w:t>
            </w:r>
            <w:r>
              <w:rPr>
                <w:lang w:val="fr-CH"/>
              </w:rPr>
              <w:t xml:space="preserve"> socio-économique </w:t>
            </w:r>
            <w:r w:rsidRPr="003F7CEF">
              <w:rPr>
                <w:lang w:val="fr-CH"/>
              </w:rPr>
              <w:t>mondial</w:t>
            </w:r>
            <w:r>
              <w:rPr>
                <w:lang w:val="fr-CH"/>
              </w:rPr>
              <w:t>,</w:t>
            </w:r>
            <w:r w:rsidRPr="003F7CEF">
              <w:rPr>
                <w:lang w:val="fr-CH"/>
              </w:rPr>
              <w:t xml:space="preserve"> dans la mesure o</w:t>
            </w:r>
            <w:r>
              <w:rPr>
                <w:lang w:val="fr-CH"/>
              </w:rPr>
              <w:t xml:space="preserve">ù elles </w:t>
            </w:r>
            <w:r w:rsidR="00644A16">
              <w:rPr>
                <w:lang w:val="fr-CH"/>
              </w:rPr>
              <w:t>comportent une gamme</w:t>
            </w:r>
            <w:r>
              <w:rPr>
                <w:lang w:val="fr-CH"/>
              </w:rPr>
              <w:t xml:space="preserve"> d</w:t>
            </w:r>
            <w:r w:rsidR="00644A16">
              <w:rPr>
                <w:lang w:val="fr-CH"/>
              </w:rPr>
              <w:t>'</w:t>
            </w:r>
            <w:r>
              <w:rPr>
                <w:lang w:val="fr-CH"/>
              </w:rPr>
              <w:t>applications multimédias très diverses, telles que des applications mobiles de télémédecine, de télétravail</w:t>
            </w:r>
            <w:r w:rsidR="004338F3">
              <w:rPr>
                <w:lang w:val="fr-CH"/>
              </w:rPr>
              <w:t>,</w:t>
            </w:r>
            <w:r>
              <w:rPr>
                <w:lang w:val="fr-CH"/>
              </w:rPr>
              <w:t xml:space="preserve"> de téléapprentissage et </w:t>
            </w:r>
            <w:r w:rsidR="004338F3">
              <w:rPr>
                <w:lang w:val="fr-CH"/>
              </w:rPr>
              <w:t>autres</w:t>
            </w:r>
            <w:r>
              <w:rPr>
                <w:lang w:val="fr-CH"/>
              </w:rPr>
              <w:t>. Cependant, l</w:t>
            </w:r>
            <w:r w:rsidRPr="00264D76">
              <w:rPr>
                <w:color w:val="000000" w:themeColor="text1"/>
                <w:lang w:val="fr-CH"/>
              </w:rPr>
              <w:t xml:space="preserve">es technologies évoluent pour </w:t>
            </w:r>
            <w:r>
              <w:rPr>
                <w:color w:val="000000" w:themeColor="text1"/>
                <w:lang w:val="fr-CH"/>
              </w:rPr>
              <w:t>faire face</w:t>
            </w:r>
            <w:r w:rsidRPr="00264D76">
              <w:rPr>
                <w:color w:val="000000" w:themeColor="text1"/>
                <w:lang w:val="fr-CH"/>
              </w:rPr>
              <w:t xml:space="preserve"> aux exigences </w:t>
            </w:r>
            <w:r w:rsidR="00644A16">
              <w:rPr>
                <w:color w:val="000000" w:themeColor="text1"/>
                <w:lang w:val="fr-CH"/>
              </w:rPr>
              <w:t>croissantes</w:t>
            </w:r>
            <w:r w:rsidRPr="00264D76">
              <w:rPr>
                <w:color w:val="000000" w:themeColor="text1"/>
                <w:lang w:val="fr-CH"/>
              </w:rPr>
              <w:t xml:space="preserve"> </w:t>
            </w:r>
            <w:r>
              <w:rPr>
                <w:color w:val="000000" w:themeColor="text1"/>
                <w:lang w:val="fr-CH"/>
              </w:rPr>
              <w:t>en matière de</w:t>
            </w:r>
            <w:r w:rsidRPr="00264D76">
              <w:rPr>
                <w:color w:val="000000" w:themeColor="text1"/>
                <w:lang w:val="fr-CH"/>
              </w:rPr>
              <w:t xml:space="preserve"> qualité </w:t>
            </w:r>
            <w:r>
              <w:rPr>
                <w:color w:val="000000" w:themeColor="text1"/>
                <w:lang w:val="fr-CH"/>
              </w:rPr>
              <w:t>ainsi qu'à</w:t>
            </w:r>
            <w:r w:rsidRPr="00264D76">
              <w:rPr>
                <w:color w:val="000000" w:themeColor="text1"/>
                <w:lang w:val="fr-CH"/>
              </w:rPr>
              <w:t xml:space="preserve"> </w:t>
            </w:r>
            <w:r>
              <w:rPr>
                <w:color w:val="000000" w:themeColor="text1"/>
                <w:lang w:val="fr-CH"/>
              </w:rPr>
              <w:t>l'augmentation de la charge de</w:t>
            </w:r>
            <w:r w:rsidRPr="00264D76">
              <w:rPr>
                <w:color w:val="000000" w:themeColor="text1"/>
                <w:lang w:val="fr-CH"/>
              </w:rPr>
              <w:t xml:space="preserve"> trafic, </w:t>
            </w:r>
            <w:r>
              <w:rPr>
                <w:color w:val="000000" w:themeColor="text1"/>
                <w:lang w:val="fr-CH"/>
              </w:rPr>
              <w:t xml:space="preserve">et </w:t>
            </w:r>
            <w:r w:rsidRPr="00264D76">
              <w:rPr>
                <w:color w:val="000000" w:themeColor="text1"/>
                <w:lang w:val="fr-CH"/>
              </w:rPr>
              <w:t xml:space="preserve">l'utilisation de </w:t>
            </w:r>
            <w:r>
              <w:rPr>
                <w:color w:val="000000" w:themeColor="text1"/>
                <w:lang w:val="fr-CH"/>
              </w:rPr>
              <w:t>voies</w:t>
            </w:r>
            <w:r w:rsidRPr="00264D76">
              <w:rPr>
                <w:color w:val="000000" w:themeColor="text1"/>
                <w:lang w:val="fr-CH"/>
              </w:rPr>
              <w:t xml:space="preserve"> </w:t>
            </w:r>
            <w:r>
              <w:rPr>
                <w:color w:val="000000" w:themeColor="text1"/>
                <w:lang w:val="fr-CH"/>
              </w:rPr>
              <w:t xml:space="preserve">à bande plus large afin d'assurer des débits de données élevés crée </w:t>
            </w:r>
            <w:r w:rsidR="00644A16">
              <w:rPr>
                <w:color w:val="000000" w:themeColor="text1"/>
                <w:lang w:val="fr-CH"/>
              </w:rPr>
              <w:t>des</w:t>
            </w:r>
            <w:r>
              <w:rPr>
                <w:color w:val="000000" w:themeColor="text1"/>
                <w:lang w:val="fr-CH"/>
              </w:rPr>
              <w:t xml:space="preserve"> besoin</w:t>
            </w:r>
            <w:r w:rsidR="00644A16">
              <w:rPr>
                <w:color w:val="000000" w:themeColor="text1"/>
                <w:lang w:val="fr-CH"/>
              </w:rPr>
              <w:t>s</w:t>
            </w:r>
            <w:r>
              <w:rPr>
                <w:color w:val="000000" w:themeColor="text1"/>
                <w:lang w:val="fr-CH"/>
              </w:rPr>
              <w:t xml:space="preserve"> de fréquences supplémentaires.</w:t>
            </w:r>
          </w:p>
          <w:p w:rsidR="002B0C66" w:rsidRPr="00962E61" w:rsidRDefault="00A27C91" w:rsidP="003B455F">
            <w:pPr>
              <w:rPr>
                <w:rStyle w:val="BRNormal"/>
                <w:lang w:val="fr-CH"/>
              </w:rPr>
            </w:pPr>
            <w:r>
              <w:rPr>
                <w:lang w:val="fr-CH"/>
              </w:rPr>
              <w:t xml:space="preserve">Il </w:t>
            </w:r>
            <w:r w:rsidRPr="00A27C91">
              <w:rPr>
                <w:lang w:val="fr-CH"/>
              </w:rPr>
              <w:t>est essentiel de mettre à disposition, en temps utile, une quantité de spectre suffisante et de prévoir des dispositions réglementaires</w:t>
            </w:r>
            <w:r>
              <w:rPr>
                <w:lang w:val="fr-CH"/>
              </w:rPr>
              <w:t xml:space="preserve"> appropriées</w:t>
            </w:r>
            <w:r w:rsidRPr="00A27C91">
              <w:rPr>
                <w:lang w:val="fr-CH"/>
              </w:rPr>
              <w:t xml:space="preserve"> pour </w:t>
            </w:r>
            <w:r w:rsidR="00644A16">
              <w:rPr>
                <w:lang w:val="fr-CH"/>
              </w:rPr>
              <w:t>soutenir</w:t>
            </w:r>
            <w:r w:rsidRPr="00A27C91">
              <w:rPr>
                <w:lang w:val="fr-CH"/>
              </w:rPr>
              <w:t xml:space="preserve"> la croissance future des applications des systèmes WAS large bande, réseaux RLAN compris</w:t>
            </w:r>
            <w:r>
              <w:rPr>
                <w:lang w:val="fr-CH"/>
              </w:rPr>
              <w:t xml:space="preserve">. Selon les estimations </w:t>
            </w:r>
            <w:r w:rsidR="00644A16">
              <w:rPr>
                <w:lang w:val="fr-CH"/>
              </w:rPr>
              <w:t>présentées</w:t>
            </w:r>
            <w:r>
              <w:rPr>
                <w:lang w:val="fr-CH"/>
              </w:rPr>
              <w:t xml:space="preserve"> dans les études de l'UIT</w:t>
            </w:r>
            <w:r>
              <w:rPr>
                <w:lang w:val="fr-CH"/>
              </w:rPr>
              <w:noBreakHyphen/>
              <w:t>R, les futurs besoins de spectre des réseaux RLAN exploités dans la gamme des 5 GHz s'élèvent au minimum</w:t>
            </w:r>
            <w:bookmarkStart w:id="6" w:name="_GoBack"/>
            <w:bookmarkEnd w:id="6"/>
            <w:r>
              <w:rPr>
                <w:lang w:val="fr-CH"/>
              </w:rPr>
              <w:t xml:space="preserve"> à 880 MHz.</w:t>
            </w:r>
            <w:r w:rsidR="00A615C2">
              <w:rPr>
                <w:lang w:val="fr-CH"/>
              </w:rPr>
              <w:t xml:space="preserve"> Ce chiffre comprend 455 MHz à 580 MHz de spectre</w:t>
            </w:r>
            <w:r w:rsidR="004338F3">
              <w:rPr>
                <w:lang w:val="fr-CH"/>
              </w:rPr>
              <w:t xml:space="preserve"> déjà utilisés pou</w:t>
            </w:r>
            <w:r w:rsidR="00A615C2">
              <w:rPr>
                <w:lang w:val="fr-CH"/>
              </w:rPr>
              <w:t xml:space="preserve">r les applications large bande mobiles autres que les IMT dans certains pays, de sorte que les besoins de </w:t>
            </w:r>
            <w:r w:rsidR="003B455F">
              <w:rPr>
                <w:lang w:val="fr-CH"/>
              </w:rPr>
              <w:t>fréquences</w:t>
            </w:r>
            <w:r w:rsidR="00A615C2">
              <w:rPr>
                <w:lang w:val="fr-CH"/>
              </w:rPr>
              <w:t xml:space="preserve"> supplémentaire</w:t>
            </w:r>
            <w:r w:rsidR="003B455F">
              <w:rPr>
                <w:lang w:val="fr-CH"/>
              </w:rPr>
              <w:t>s</w:t>
            </w:r>
            <w:r w:rsidR="00A615C2">
              <w:rPr>
                <w:lang w:val="fr-CH"/>
              </w:rPr>
              <w:t xml:space="preserve"> varient de 300 MHz à 425 MHz. </w:t>
            </w:r>
            <w:r w:rsidR="00A615C2" w:rsidRPr="00A615C2">
              <w:t xml:space="preserve">Les </w:t>
            </w:r>
            <w:r w:rsidR="00475787">
              <w:t>plages précédentes sont dues au</w:t>
            </w:r>
            <w:r w:rsidR="00A615C2" w:rsidRPr="00A615C2">
              <w:t xml:space="preserve"> fait que certaines bandes de fréquences ne sont identifiées pour les réseaux RLAN que dans certains pays.</w:t>
            </w:r>
            <w:r w:rsidR="00A615C2">
              <w:t xml:space="preserve"> Il convient aussi de noter </w:t>
            </w:r>
            <w:r w:rsidR="003B455F">
              <w:t xml:space="preserve">qu'une </w:t>
            </w:r>
            <w:r w:rsidR="003B455F">
              <w:lastRenderedPageBreak/>
              <w:t xml:space="preserve">harmonisation des bandes à l'échelle mondiale est vivement souhaitable </w:t>
            </w:r>
            <w:r w:rsidR="00A615C2" w:rsidRPr="0064436C">
              <w:rPr>
                <w:lang w:val="fr-CH"/>
              </w:rPr>
              <w:t xml:space="preserve">pour </w:t>
            </w:r>
            <w:r w:rsidR="003B455F">
              <w:rPr>
                <w:lang w:val="fr-CH"/>
              </w:rPr>
              <w:t>soutenir</w:t>
            </w:r>
            <w:r w:rsidR="00A615C2" w:rsidRPr="0064436C">
              <w:rPr>
                <w:lang w:val="fr-CH"/>
              </w:rPr>
              <w:t xml:space="preserve"> la croissance future </w:t>
            </w:r>
            <w:r w:rsidR="00A615C2">
              <w:rPr>
                <w:lang w:val="fr-CH"/>
              </w:rPr>
              <w:t xml:space="preserve">des applications </w:t>
            </w:r>
            <w:r w:rsidR="00A615C2" w:rsidRPr="0064436C">
              <w:rPr>
                <w:lang w:val="fr-CH"/>
              </w:rPr>
              <w:t xml:space="preserve">des systèmes WAS large bande, </w:t>
            </w:r>
            <w:r w:rsidR="00A615C2">
              <w:rPr>
                <w:lang w:val="fr-CH"/>
              </w:rPr>
              <w:t xml:space="preserve">réseaux RLAN compris, </w:t>
            </w:r>
            <w:r w:rsidR="003B455F">
              <w:rPr>
                <w:lang w:val="fr-CH"/>
              </w:rPr>
              <w:t>compte tenu</w:t>
            </w:r>
            <w:r w:rsidR="00A615C2">
              <w:rPr>
                <w:lang w:val="fr-CH"/>
              </w:rPr>
              <w:t xml:space="preserve"> des avantages qui en </w:t>
            </w:r>
            <w:r w:rsidR="003B455F">
              <w:rPr>
                <w:lang w:val="fr-CH"/>
              </w:rPr>
              <w:t>résult</w:t>
            </w:r>
            <w:r w:rsidR="00A615C2">
              <w:rPr>
                <w:lang w:val="fr-CH"/>
              </w:rPr>
              <w:t>eraient en termes d'économies d'échelle.</w:t>
            </w:r>
          </w:p>
          <w:p w:rsidR="001758E8" w:rsidRDefault="00F6525C" w:rsidP="00451B7F">
            <w:pPr>
              <w:rPr>
                <w:rStyle w:val="BRNormal"/>
                <w:lang w:val="fr-CH"/>
              </w:rPr>
            </w:pPr>
            <w:r>
              <w:t xml:space="preserve">A l'heure actuelle, dans la gamme des 5 GHz, les dispositifs </w:t>
            </w:r>
            <w:r w:rsidRPr="0076027B">
              <w:t xml:space="preserve">RLAN </w:t>
            </w:r>
            <w:r>
              <w:t xml:space="preserve">utilisent les bandes de fréquences suivantes: </w:t>
            </w:r>
            <w:r w:rsidRPr="0076027B">
              <w:t>5 150</w:t>
            </w:r>
            <w:r w:rsidRPr="0076027B">
              <w:noBreakHyphen/>
              <w:t>5 250 MHz, 5 250</w:t>
            </w:r>
            <w:r w:rsidRPr="0076027B">
              <w:noBreakHyphen/>
              <w:t xml:space="preserve">5 350 MHz, 5 470-5 725 MHz </w:t>
            </w:r>
            <w:r>
              <w:t xml:space="preserve">et </w:t>
            </w:r>
            <w:r w:rsidRPr="0076027B">
              <w:t>5 725</w:t>
            </w:r>
            <w:r w:rsidR="003B455F">
              <w:noBreakHyphen/>
            </w:r>
            <w:r w:rsidRPr="0076027B">
              <w:t>5 850 MHz (</w:t>
            </w:r>
            <w:r>
              <w:t>dans certains pay</w:t>
            </w:r>
            <w:r w:rsidRPr="0076027B">
              <w:t>s).</w:t>
            </w:r>
            <w:r>
              <w:t xml:space="preserve"> Conformément à la Résolution </w:t>
            </w:r>
            <w:r w:rsidRPr="000921AA">
              <w:rPr>
                <w:b/>
                <w:bCs/>
              </w:rPr>
              <w:t>229 (R</w:t>
            </w:r>
            <w:r>
              <w:rPr>
                <w:b/>
                <w:bCs/>
              </w:rPr>
              <w:t>é</w:t>
            </w:r>
            <w:r w:rsidRPr="000921AA">
              <w:rPr>
                <w:b/>
                <w:bCs/>
              </w:rPr>
              <w:t>v.CMR-12)</w:t>
            </w:r>
            <w:r w:rsidRPr="000921AA">
              <w:t xml:space="preserve">, </w:t>
            </w:r>
            <w:r>
              <w:rPr>
                <w:color w:val="000000"/>
              </w:rPr>
              <w:t xml:space="preserve">l'exploitation dans la bande </w:t>
            </w:r>
            <w:r w:rsidR="003B455F">
              <w:rPr>
                <w:color w:val="000000"/>
              </w:rPr>
              <w:t xml:space="preserve">de fréquences </w:t>
            </w:r>
            <w:r>
              <w:rPr>
                <w:color w:val="000000"/>
              </w:rPr>
              <w:t xml:space="preserve">5 150-5 250 MHz est limitée à une utilisation à l'intérieur des bâtiments, tandis que </w:t>
            </w:r>
            <w:r w:rsidR="002D2650">
              <w:rPr>
                <w:color w:val="000000"/>
              </w:rPr>
              <w:t>l</w:t>
            </w:r>
            <w:r>
              <w:rPr>
                <w:color w:val="000000"/>
              </w:rPr>
              <w:t>es règles relatives à la sélection dynamique des fréquences s'appliquent dans les bandes</w:t>
            </w:r>
            <w:r w:rsidR="003B455F">
              <w:rPr>
                <w:color w:val="000000"/>
              </w:rPr>
              <w:t xml:space="preserve"> de fréquences</w:t>
            </w:r>
            <w:r>
              <w:rPr>
                <w:color w:val="000000"/>
              </w:rPr>
              <w:t> 5 250</w:t>
            </w:r>
            <w:r>
              <w:rPr>
                <w:color w:val="000000"/>
              </w:rPr>
              <w:noBreakHyphen/>
              <w:t>5 350 MHz et 5 470-5 725 MHz.</w:t>
            </w:r>
          </w:p>
          <w:p w:rsidR="00475787" w:rsidRDefault="00475787" w:rsidP="00DE4AEB">
            <w:pPr>
              <w:rPr>
                <w:rStyle w:val="BRNormal"/>
                <w:lang w:val="fr-CH"/>
              </w:rPr>
            </w:pPr>
            <w:r>
              <w:rPr>
                <w:rStyle w:val="BRNormal"/>
                <w:lang w:val="fr-CH"/>
              </w:rPr>
              <w:t xml:space="preserve">Une attribution aux systèmes WAS (réseaux RLAN compris) dans les gammes de fréquences </w:t>
            </w:r>
            <w:r w:rsidRPr="00475787">
              <w:rPr>
                <w:rStyle w:val="BRNormal"/>
                <w:lang w:val="fr-CH"/>
              </w:rPr>
              <w:t xml:space="preserve">5 350-5 470 MHz </w:t>
            </w:r>
            <w:r>
              <w:rPr>
                <w:rStyle w:val="BRNormal"/>
                <w:lang w:val="fr-CH"/>
              </w:rPr>
              <w:t>et</w:t>
            </w:r>
            <w:r w:rsidRPr="00475787">
              <w:rPr>
                <w:rStyle w:val="BRNormal"/>
                <w:lang w:val="fr-CH"/>
              </w:rPr>
              <w:t xml:space="preserve"> 5 725-5 925 MHz</w:t>
            </w:r>
            <w:r>
              <w:rPr>
                <w:rStyle w:val="BRNormal"/>
                <w:lang w:val="fr-CH"/>
              </w:rPr>
              <w:t xml:space="preserve"> permettrait </w:t>
            </w:r>
            <w:r w:rsidR="00DE4AEB">
              <w:rPr>
                <w:rStyle w:val="BRNormal"/>
                <w:lang w:val="fr-CH"/>
              </w:rPr>
              <w:t>de mettre à disposition une portion de spectre</w:t>
            </w:r>
            <w:r>
              <w:rPr>
                <w:rStyle w:val="BRNormal"/>
                <w:lang w:val="fr-CH"/>
              </w:rPr>
              <w:t xml:space="preserve"> </w:t>
            </w:r>
            <w:r w:rsidR="003B455F">
              <w:rPr>
                <w:rStyle w:val="BRNormal"/>
                <w:lang w:val="fr-CH"/>
              </w:rPr>
              <w:t>contiguë</w:t>
            </w:r>
            <w:r>
              <w:rPr>
                <w:rStyle w:val="BRNormal"/>
                <w:lang w:val="fr-CH"/>
              </w:rPr>
              <w:t xml:space="preserve"> </w:t>
            </w:r>
            <w:r w:rsidR="00DE4AEB">
              <w:rPr>
                <w:rStyle w:val="BRNormal"/>
                <w:lang w:val="fr-CH"/>
              </w:rPr>
              <w:t>aux bandes</w:t>
            </w:r>
            <w:r w:rsidR="004338F3">
              <w:rPr>
                <w:rStyle w:val="BRNormal"/>
                <w:lang w:val="fr-CH"/>
              </w:rPr>
              <w:t xml:space="preserve"> actuellement a</w:t>
            </w:r>
            <w:r>
              <w:rPr>
                <w:rStyle w:val="BRNormal"/>
                <w:lang w:val="fr-CH"/>
              </w:rPr>
              <w:t>ttribu</w:t>
            </w:r>
            <w:r w:rsidR="004338F3">
              <w:rPr>
                <w:rStyle w:val="BRNormal"/>
                <w:lang w:val="fr-CH"/>
              </w:rPr>
              <w:t>é</w:t>
            </w:r>
            <w:r w:rsidR="003B455F">
              <w:rPr>
                <w:rStyle w:val="BRNormal"/>
                <w:lang w:val="fr-CH"/>
              </w:rPr>
              <w:t>e</w:t>
            </w:r>
            <w:r w:rsidR="00DE4AEB">
              <w:rPr>
                <w:rStyle w:val="BRNormal"/>
                <w:lang w:val="fr-CH"/>
              </w:rPr>
              <w:t>s</w:t>
            </w:r>
            <w:r>
              <w:rPr>
                <w:rStyle w:val="BRNormal"/>
                <w:lang w:val="fr-CH"/>
              </w:rPr>
              <w:t xml:space="preserve"> </w:t>
            </w:r>
            <w:r w:rsidR="004338F3">
              <w:rPr>
                <w:rStyle w:val="BRNormal"/>
                <w:lang w:val="fr-CH"/>
              </w:rPr>
              <w:t>aux</w:t>
            </w:r>
            <w:r>
              <w:rPr>
                <w:rStyle w:val="BRNormal"/>
                <w:lang w:val="fr-CH"/>
              </w:rPr>
              <w:t xml:space="preserve"> réseaux RLAN.</w:t>
            </w:r>
          </w:p>
          <w:p w:rsidR="00475787" w:rsidRDefault="00B45F1B" w:rsidP="00451B7F">
            <w:pPr>
              <w:rPr>
                <w:lang w:val="fr-CH"/>
              </w:rPr>
            </w:pPr>
            <w:r>
              <w:rPr>
                <w:lang w:val="fr-CH"/>
              </w:rPr>
              <w:t>Les</w:t>
            </w:r>
            <w:r w:rsidR="00475787" w:rsidRPr="00475787">
              <w:rPr>
                <w:lang w:val="fr-CH"/>
              </w:rPr>
              <w:t xml:space="preserve"> études de compatibilité menées par l'UIT-R </w:t>
            </w:r>
            <w:r>
              <w:rPr>
                <w:lang w:val="fr-CH"/>
              </w:rPr>
              <w:t>dans le cadre</w:t>
            </w:r>
            <w:r w:rsidR="00475787" w:rsidRPr="00475787">
              <w:rPr>
                <w:lang w:val="fr-CH"/>
              </w:rPr>
              <w:t xml:space="preserve"> des travaux préparatoires en vue de la CMR-15 montrent que si les systèmes WAS, réseaux RLAN compris, utilisaient des paramètres conformes aux dispositions de la Résolution </w:t>
            </w:r>
            <w:r w:rsidR="00475787" w:rsidRPr="00475787">
              <w:rPr>
                <w:b/>
                <w:bCs/>
                <w:lang w:val="fr-CH"/>
              </w:rPr>
              <w:t>229 (Rév.CMR-12)</w:t>
            </w:r>
            <w:r w:rsidR="00475787" w:rsidRPr="00475787">
              <w:rPr>
                <w:lang w:val="fr-CH"/>
              </w:rPr>
              <w:t xml:space="preserve">, le partage entre les </w:t>
            </w:r>
            <w:r w:rsidR="00DE4AEB">
              <w:rPr>
                <w:lang w:val="fr-CH"/>
              </w:rPr>
              <w:t>réseaux</w:t>
            </w:r>
            <w:r w:rsidR="00475787" w:rsidRPr="00475787">
              <w:rPr>
                <w:lang w:val="fr-CH"/>
              </w:rPr>
              <w:t xml:space="preserve"> RLAN et les systèmes du SETS (active) dans la bande de fréquences 5 350</w:t>
            </w:r>
            <w:r w:rsidR="00475787">
              <w:rPr>
                <w:lang w:val="fr-CH"/>
              </w:rPr>
              <w:noBreakHyphen/>
            </w:r>
            <w:r w:rsidR="00475787" w:rsidRPr="00475787">
              <w:rPr>
                <w:lang w:val="fr-CH"/>
              </w:rPr>
              <w:t>5 470 MHz ne serait pas possible, et que ces paramètres sont insuffisants pour assurer la protection de certains types de radars dans la bande de fréquences 5 350-5 470 MHz</w:t>
            </w:r>
            <w:r w:rsidR="00475787">
              <w:rPr>
                <w:lang w:val="fr-CH"/>
              </w:rPr>
              <w:t>. L</w:t>
            </w:r>
            <w:r w:rsidR="00475787" w:rsidRPr="00475787">
              <w:rPr>
                <w:lang w:val="fr-CH"/>
              </w:rPr>
              <w:t xml:space="preserve">e partage peut être envisageable si des mesures supplémentaires d'atténuation des brouillages dus aux réseaux RLAN sont mises en oeuvre, mais aucun accord n'a été trouvé concernant la possibilité d'appliquer </w:t>
            </w:r>
            <w:r w:rsidR="00DE4AEB">
              <w:rPr>
                <w:lang w:val="fr-CH"/>
              </w:rPr>
              <w:t>de t</w:t>
            </w:r>
            <w:r w:rsidR="00475787" w:rsidRPr="00475787">
              <w:rPr>
                <w:lang w:val="fr-CH"/>
              </w:rPr>
              <w:t>elles techniques</w:t>
            </w:r>
            <w:r w:rsidR="00DE4AEB">
              <w:rPr>
                <w:lang w:val="fr-CH"/>
              </w:rPr>
              <w:t>,</w:t>
            </w:r>
            <w:r w:rsidR="00475787">
              <w:rPr>
                <w:lang w:val="fr-CH"/>
              </w:rPr>
              <w:t xml:space="preserve"> et certaines administrations ont estimé que des études supplémentaires étaient nécessaires. En outre, </w:t>
            </w:r>
            <w:r w:rsidR="00475787" w:rsidRPr="00475787">
              <w:rPr>
                <w:lang w:val="fr-CH"/>
              </w:rPr>
              <w:t>il n'a été trouvé d'accord ni au sujet des paramètres appropriés des réseaux RLAN, ni au sujet d'aucune des études de compatibilité menées dans le cadre des travaux préparatoires de l'UIT</w:t>
            </w:r>
            <w:r w:rsidR="00475787" w:rsidRPr="00475787">
              <w:rPr>
                <w:lang w:val="fr-CH"/>
              </w:rPr>
              <w:noBreakHyphen/>
              <w:t>R en vue de la CMR</w:t>
            </w:r>
            <w:r w:rsidR="00475787" w:rsidRPr="00475787">
              <w:rPr>
                <w:lang w:val="fr-CH"/>
              </w:rPr>
              <w:noBreakHyphen/>
              <w:t xml:space="preserve">15 </w:t>
            </w:r>
            <w:r w:rsidR="00DE4AEB">
              <w:rPr>
                <w:lang w:val="fr-CH"/>
              </w:rPr>
              <w:t>concernant</w:t>
            </w:r>
            <w:r w:rsidR="00475787" w:rsidRPr="00475787">
              <w:rPr>
                <w:lang w:val="fr-CH"/>
              </w:rPr>
              <w:t xml:space="preserve"> la bande 5 725-5 850 MHz, notamment </w:t>
            </w:r>
            <w:r w:rsidR="00451B7F">
              <w:rPr>
                <w:lang w:val="fr-CH"/>
              </w:rPr>
              <w:t>pour ce qui est de</w:t>
            </w:r>
            <w:r w:rsidR="00475787" w:rsidRPr="00475787">
              <w:rPr>
                <w:lang w:val="fr-CH"/>
              </w:rPr>
              <w:t xml:space="preserve"> la protection de certains types de radars</w:t>
            </w:r>
            <w:r w:rsidR="00475787">
              <w:rPr>
                <w:lang w:val="fr-CH"/>
              </w:rPr>
              <w:t>.</w:t>
            </w:r>
          </w:p>
          <w:p w:rsidR="00E61016" w:rsidRPr="00E61016" w:rsidRDefault="00475787" w:rsidP="00DE4AEB">
            <w:pPr>
              <w:rPr>
                <w:rStyle w:val="BRNormal"/>
                <w:lang w:val="fr-CH"/>
              </w:rPr>
            </w:pPr>
            <w:r>
              <w:rPr>
                <w:lang w:val="fr-CH"/>
              </w:rPr>
              <w:t xml:space="preserve">Il est proposé d'examiner </w:t>
            </w:r>
            <w:r w:rsidRPr="00475787">
              <w:rPr>
                <w:lang w:val="fr-CH"/>
              </w:rPr>
              <w:t xml:space="preserve">les technologies de </w:t>
            </w:r>
            <w:r w:rsidR="006D669A">
              <w:rPr>
                <w:lang w:val="fr-CH"/>
              </w:rPr>
              <w:t>partage des fréquences</w:t>
            </w:r>
            <w:r w:rsidRPr="00475787">
              <w:rPr>
                <w:lang w:val="fr-CH"/>
              </w:rPr>
              <w:t xml:space="preserve">, les mécanismes ou techniques d'atténuation des brouillages supplémentaires pour le partage dans la bande, qui pourraient être appliqués aux systèmes d'accès hertzien (WAS), réseaux locaux hertziens compris, dans la gamme des 5 GHz, et </w:t>
            </w:r>
            <w:r w:rsidR="00451B7F">
              <w:rPr>
                <w:lang w:val="fr-CH"/>
              </w:rPr>
              <w:t xml:space="preserve">de </w:t>
            </w:r>
            <w:r w:rsidRPr="00475787">
              <w:rPr>
                <w:lang w:val="fr-CH"/>
              </w:rPr>
              <w:t xml:space="preserve">prendre les mesures appropriées, conformément au projet de nouvelle Résolution </w:t>
            </w:r>
            <w:r w:rsidRPr="00475787">
              <w:rPr>
                <w:b/>
                <w:bCs/>
                <w:lang w:val="fr-CH"/>
              </w:rPr>
              <w:t>[81-B24-5GHz] (CM</w:t>
            </w:r>
            <w:r w:rsidR="00DE4AEB">
              <w:rPr>
                <w:b/>
                <w:bCs/>
                <w:lang w:val="fr-CH"/>
              </w:rPr>
              <w:t>R</w:t>
            </w:r>
            <w:r w:rsidRPr="00475787">
              <w:rPr>
                <w:b/>
                <w:bCs/>
                <w:lang w:val="fr-CH"/>
              </w:rPr>
              <w:t>-15)</w:t>
            </w:r>
            <w:r w:rsidRPr="00475787">
              <w:rPr>
                <w:lang w:val="fr-CH"/>
              </w:rPr>
              <w:t>.</w:t>
            </w:r>
          </w:p>
        </w:tc>
      </w:tr>
      <w:tr w:rsidR="001758E8" w:rsidRPr="00E33392" w:rsidTr="002B0C66">
        <w:tc>
          <w:tcPr>
            <w:tcW w:w="9855" w:type="dxa"/>
            <w:gridSpan w:val="3"/>
            <w:tcBorders>
              <w:top w:val="single" w:sz="4" w:space="0" w:color="auto"/>
              <w:left w:val="nil"/>
              <w:bottom w:val="single" w:sz="4" w:space="0" w:color="auto"/>
              <w:right w:val="nil"/>
            </w:tcBorders>
          </w:tcPr>
          <w:p w:rsidR="00D7036D" w:rsidRPr="00C26BF4" w:rsidRDefault="00D7036D" w:rsidP="00C26BF4">
            <w:pPr>
              <w:rPr>
                <w:b/>
                <w:i/>
              </w:rPr>
            </w:pPr>
            <w:r w:rsidRPr="00C26BF4">
              <w:rPr>
                <w:b/>
                <w:bCs/>
                <w:i/>
                <w:iCs/>
              </w:rPr>
              <w:lastRenderedPageBreak/>
              <w:t>Services de radiocommunication concernés</w:t>
            </w:r>
            <w:r w:rsidRPr="00C26BF4">
              <w:rPr>
                <w:b/>
                <w:i/>
              </w:rPr>
              <w:t>:</w:t>
            </w:r>
          </w:p>
          <w:p w:rsidR="00E61016" w:rsidRPr="00E61016" w:rsidRDefault="00C26BF4" w:rsidP="00E61016">
            <w:pPr>
              <w:rPr>
                <w:rStyle w:val="BRNormal"/>
              </w:rPr>
            </w:pPr>
            <w:r w:rsidRPr="00C26BF4">
              <w:rPr>
                <w:rStyle w:val="BRNormal"/>
              </w:rPr>
              <w:t>Fixe, fixe par satellite, mobile, radionavigation aéronautique, exploration de la Terre par satellite, radiolocalisation, recherche spatiale, radionavigation, et amateur et amateur par satellite</w:t>
            </w:r>
          </w:p>
        </w:tc>
      </w:tr>
      <w:tr w:rsidR="001758E8" w:rsidRPr="00FC7CE1" w:rsidTr="002B0C66">
        <w:tc>
          <w:tcPr>
            <w:tcW w:w="9855" w:type="dxa"/>
            <w:gridSpan w:val="3"/>
            <w:tcBorders>
              <w:top w:val="single" w:sz="4" w:space="0" w:color="auto"/>
              <w:left w:val="nil"/>
              <w:bottom w:val="single" w:sz="4" w:space="0" w:color="auto"/>
              <w:right w:val="nil"/>
            </w:tcBorders>
          </w:tcPr>
          <w:p w:rsidR="001758E8" w:rsidRPr="00C97057" w:rsidRDefault="00D7036D" w:rsidP="00C97057">
            <w:pPr>
              <w:rPr>
                <w:rStyle w:val="Emphasis"/>
              </w:rPr>
            </w:pPr>
            <w:r w:rsidRPr="00C97057">
              <w:rPr>
                <w:b/>
                <w:bCs/>
                <w:i/>
                <w:iCs/>
              </w:rPr>
              <w:t>Indication des difficultés éventuelles:</w:t>
            </w:r>
          </w:p>
          <w:p w:rsidR="00C97057" w:rsidRDefault="00C97057" w:rsidP="004338F3">
            <w:pPr>
              <w:rPr>
                <w:rStyle w:val="BRNormal"/>
              </w:rPr>
            </w:pPr>
            <w:r w:rsidRPr="00C97057">
              <w:rPr>
                <w:rStyle w:val="BRNormal"/>
              </w:rPr>
              <w:t>Les attributions au service d'exploration de la Terre par satellite (active) dans les bandes 5 350</w:t>
            </w:r>
            <w:r w:rsidR="004338F3">
              <w:rPr>
                <w:rStyle w:val="BRNormal"/>
              </w:rPr>
              <w:noBreakHyphen/>
            </w:r>
            <w:r w:rsidRPr="00C97057">
              <w:rPr>
                <w:rStyle w:val="BRNormal"/>
              </w:rPr>
              <w:t xml:space="preserve">5 460 MHz et 5 460-5 470 MHz sont essentielles pour le programme européen d'observation de la Terre Copernicus, connu </w:t>
            </w:r>
            <w:r>
              <w:rPr>
                <w:rStyle w:val="BRNormal"/>
              </w:rPr>
              <w:t xml:space="preserve">auparavant </w:t>
            </w:r>
            <w:r w:rsidRPr="00C97057">
              <w:rPr>
                <w:rStyle w:val="BRNormal"/>
              </w:rPr>
              <w:t>sous le nom de GMES (</w:t>
            </w:r>
            <w:r w:rsidRPr="00C97057">
              <w:rPr>
                <w:rStyle w:val="BRNormal"/>
                <w:i/>
                <w:iCs/>
              </w:rPr>
              <w:t>Global Monitoring for Environment and Security</w:t>
            </w:r>
            <w:r w:rsidRPr="00C97057">
              <w:rPr>
                <w:rStyle w:val="BRNormal"/>
              </w:rPr>
              <w:t>).</w:t>
            </w:r>
          </w:p>
          <w:p w:rsidR="00C97057" w:rsidRDefault="00C97057" w:rsidP="004338F3">
            <w:pPr>
              <w:rPr>
                <w:rStyle w:val="BRNormal"/>
              </w:rPr>
            </w:pPr>
            <w:r>
              <w:rPr>
                <w:rStyle w:val="BRNormal"/>
              </w:rPr>
              <w:t xml:space="preserve">L'Agence spatiale européenne (ESA) est responsable de la composante spatiale du programme Copernicus et coordonne la fourniture de données </w:t>
            </w:r>
            <w:r w:rsidR="004338F3">
              <w:rPr>
                <w:rStyle w:val="BRNormal"/>
              </w:rPr>
              <w:t>collectées par</w:t>
            </w:r>
            <w:r>
              <w:rPr>
                <w:rStyle w:val="BRNormal"/>
              </w:rPr>
              <w:t xml:space="preserve"> plus de 30 satellites.</w:t>
            </w:r>
          </w:p>
          <w:p w:rsidR="00C97057" w:rsidRDefault="00FC7CE1" w:rsidP="004338F3">
            <w:pPr>
              <w:rPr>
                <w:rStyle w:val="BRNormal"/>
              </w:rPr>
            </w:pPr>
            <w:r>
              <w:rPr>
                <w:rStyle w:val="BRNormal"/>
              </w:rPr>
              <w:t xml:space="preserve">Les informations sur l'environnement </w:t>
            </w:r>
            <w:r w:rsidR="004338F3">
              <w:rPr>
                <w:rStyle w:val="BRNormal"/>
              </w:rPr>
              <w:t>obtenu</w:t>
            </w:r>
            <w:r>
              <w:rPr>
                <w:rStyle w:val="BRNormal"/>
              </w:rPr>
              <w:t xml:space="preserve">es </w:t>
            </w:r>
            <w:r w:rsidR="004338F3">
              <w:rPr>
                <w:rStyle w:val="BRNormal"/>
              </w:rPr>
              <w:t>grâce au</w:t>
            </w:r>
            <w:r>
              <w:rPr>
                <w:rStyle w:val="BRNormal"/>
              </w:rPr>
              <w:t xml:space="preserve"> programme Copernicus revêtent une importance cruciale pour les organisations européennes et internationales.</w:t>
            </w:r>
          </w:p>
          <w:p w:rsidR="004338F3" w:rsidRPr="00E61016" w:rsidRDefault="00FC7CE1" w:rsidP="00DE4AEB">
            <w:pPr>
              <w:rPr>
                <w:rStyle w:val="BRNormal"/>
              </w:rPr>
            </w:pPr>
            <w:r>
              <w:rPr>
                <w:rStyle w:val="BRNormal"/>
              </w:rPr>
              <w:t xml:space="preserve">Les résultats des études relatives aux techniques d'atténuation des brouillages doivent être pratiquement applicables et permettre d'assurer la protection du programme Copernicus et des autres </w:t>
            </w:r>
            <w:r w:rsidR="00DE4AEB">
              <w:rPr>
                <w:rStyle w:val="BRNormal"/>
              </w:rPr>
              <w:t>applic</w:t>
            </w:r>
            <w:r>
              <w:rPr>
                <w:rStyle w:val="BRNormal"/>
              </w:rPr>
              <w:t>ations et services auxquels les bandes sont attribuées.</w:t>
            </w:r>
          </w:p>
        </w:tc>
      </w:tr>
      <w:tr w:rsidR="001758E8" w:rsidRPr="004338F3" w:rsidTr="002B0C66">
        <w:tc>
          <w:tcPr>
            <w:tcW w:w="9855" w:type="dxa"/>
            <w:gridSpan w:val="3"/>
            <w:tcBorders>
              <w:top w:val="single" w:sz="4" w:space="0" w:color="auto"/>
              <w:left w:val="nil"/>
              <w:bottom w:val="single" w:sz="4" w:space="0" w:color="auto"/>
              <w:right w:val="nil"/>
            </w:tcBorders>
          </w:tcPr>
          <w:p w:rsidR="001758E8" w:rsidRPr="00D7036D" w:rsidRDefault="00D7036D" w:rsidP="00FC7CE1">
            <w:pPr>
              <w:rPr>
                <w:rStyle w:val="Emphasis"/>
                <w:lang w:val="fr-CH"/>
              </w:rPr>
            </w:pPr>
            <w:r w:rsidRPr="003A2ED4">
              <w:rPr>
                <w:b/>
                <w:bCs/>
                <w:i/>
                <w:iCs/>
                <w:lang w:val="fr-CH"/>
              </w:rPr>
              <w:lastRenderedPageBreak/>
              <w:t>Etudes précédentes ou en cours sur la question</w:t>
            </w:r>
            <w:r w:rsidRPr="003A2ED4">
              <w:rPr>
                <w:b/>
                <w:bCs/>
                <w:i/>
                <w:iCs/>
              </w:rPr>
              <w:t>:</w:t>
            </w:r>
          </w:p>
          <w:p w:rsidR="004338F3" w:rsidRPr="00E61016" w:rsidRDefault="00FC7CE1" w:rsidP="00E61016">
            <w:pPr>
              <w:rPr>
                <w:rStyle w:val="BRNormal"/>
                <w:lang w:val="fr-CH"/>
              </w:rPr>
            </w:pPr>
            <w:r w:rsidRPr="00FC7CE1">
              <w:rPr>
                <w:rStyle w:val="BRNormal"/>
                <w:lang w:val="fr-CH"/>
              </w:rPr>
              <w:t>Au cou</w:t>
            </w:r>
            <w:r w:rsidR="004338F3">
              <w:rPr>
                <w:rStyle w:val="BRNormal"/>
                <w:lang w:val="fr-CH"/>
              </w:rPr>
              <w:t>rs de la période d'études 2012</w:t>
            </w:r>
            <w:r w:rsidRPr="00FC7CE1">
              <w:rPr>
                <w:rStyle w:val="BRNormal"/>
                <w:lang w:val="fr-CH"/>
              </w:rPr>
              <w:t>-2015</w:t>
            </w:r>
            <w:r>
              <w:rPr>
                <w:rStyle w:val="BRNormal"/>
                <w:lang w:val="fr-CH"/>
              </w:rPr>
              <w:t xml:space="preserve">, dans le cadre des travaux préparatoires en vue de la CMR 15, l'UIT-R a entrepris des études au titre de la Résolution </w:t>
            </w:r>
            <w:r w:rsidRPr="00FC7CE1">
              <w:rPr>
                <w:rStyle w:val="BRNormal"/>
                <w:b/>
                <w:bCs/>
                <w:lang w:val="fr-CH"/>
              </w:rPr>
              <w:t>233 (CMR-12)</w:t>
            </w:r>
            <w:r>
              <w:rPr>
                <w:rStyle w:val="BRNormal"/>
                <w:lang w:val="fr-CH"/>
              </w:rPr>
              <w:t xml:space="preserve"> sur les questions relatives aux fréquences pour les télécommunications mobiles internationales et d'autres applications mobiles à large bande de Terre.</w:t>
            </w:r>
          </w:p>
        </w:tc>
      </w:tr>
      <w:tr w:rsidR="001758E8" w:rsidRPr="00F904A3" w:rsidTr="002B0C66">
        <w:tc>
          <w:tcPr>
            <w:tcW w:w="4927" w:type="dxa"/>
            <w:gridSpan w:val="2"/>
            <w:tcBorders>
              <w:top w:val="single" w:sz="4" w:space="0" w:color="auto"/>
              <w:left w:val="nil"/>
              <w:bottom w:val="single" w:sz="4" w:space="0" w:color="auto"/>
              <w:right w:val="single" w:sz="4" w:space="0" w:color="auto"/>
            </w:tcBorders>
          </w:tcPr>
          <w:p w:rsidR="001758E8" w:rsidRPr="00D7036D" w:rsidRDefault="00D7036D" w:rsidP="00FC7CE1">
            <w:pPr>
              <w:rPr>
                <w:rStyle w:val="Emphasis"/>
                <w:lang w:val="fr-CH"/>
              </w:rPr>
            </w:pPr>
            <w:r w:rsidRPr="0014454C">
              <w:rPr>
                <w:b/>
                <w:bCs/>
                <w:i/>
                <w:iCs/>
                <w:lang w:val="fr-CH"/>
              </w:rPr>
              <w:t>Etudes devant être réalisées par</w:t>
            </w:r>
            <w:r w:rsidRPr="0014454C">
              <w:rPr>
                <w:b/>
                <w:bCs/>
                <w:i/>
                <w:iCs/>
              </w:rPr>
              <w:t>:</w:t>
            </w:r>
          </w:p>
          <w:p w:rsidR="001758E8" w:rsidRPr="00FC7CE1" w:rsidRDefault="001758E8" w:rsidP="00FC7CE1">
            <w:pPr>
              <w:rPr>
                <w:rStyle w:val="BRNormal"/>
                <w:lang w:val="fr-CH"/>
              </w:rPr>
            </w:pPr>
            <w:r w:rsidRPr="00FC7CE1">
              <w:rPr>
                <w:rStyle w:val="BRNormal"/>
                <w:lang w:val="fr-CH"/>
              </w:rPr>
              <w:t xml:space="preserve">Administrations </w:t>
            </w:r>
            <w:r w:rsidR="00FC7CE1" w:rsidRPr="00FC7CE1">
              <w:rPr>
                <w:rStyle w:val="BRNormal"/>
                <w:lang w:val="fr-CH"/>
              </w:rPr>
              <w:t>et</w:t>
            </w:r>
            <w:r w:rsidRPr="00FC7CE1">
              <w:rPr>
                <w:rStyle w:val="BRNormal"/>
                <w:lang w:val="fr-CH"/>
              </w:rPr>
              <w:t xml:space="preserve"> </w:t>
            </w:r>
            <w:r w:rsidR="00FC7CE1" w:rsidRPr="00FC7CE1">
              <w:rPr>
                <w:rStyle w:val="BRNormal"/>
                <w:lang w:val="fr-CH"/>
              </w:rPr>
              <w:t>Membres du Secteur</w:t>
            </w:r>
            <w:r w:rsidR="00FC7CE1">
              <w:rPr>
                <w:rStyle w:val="BRNormal"/>
                <w:lang w:val="fr-CH"/>
              </w:rPr>
              <w:t xml:space="preserve"> de l'</w:t>
            </w:r>
            <w:r w:rsidR="00FC7CE1" w:rsidRPr="00FC7CE1">
              <w:rPr>
                <w:rStyle w:val="BRNormal"/>
                <w:lang w:val="fr-CH"/>
              </w:rPr>
              <w:t>UIT</w:t>
            </w:r>
            <w:r w:rsidR="00FC7CE1" w:rsidRPr="00FC7CE1">
              <w:rPr>
                <w:rStyle w:val="BRNormal"/>
                <w:lang w:val="fr-CH"/>
              </w:rPr>
              <w:noBreakHyphen/>
            </w:r>
            <w:r w:rsidR="00FC7CE1">
              <w:rPr>
                <w:rStyle w:val="BRNormal"/>
                <w:lang w:val="fr-CH"/>
              </w:rPr>
              <w:t>R</w:t>
            </w:r>
          </w:p>
        </w:tc>
        <w:tc>
          <w:tcPr>
            <w:tcW w:w="4928" w:type="dxa"/>
            <w:tcBorders>
              <w:top w:val="single" w:sz="4" w:space="0" w:color="auto"/>
              <w:left w:val="single" w:sz="4" w:space="0" w:color="auto"/>
              <w:bottom w:val="single" w:sz="4" w:space="0" w:color="auto"/>
              <w:right w:val="nil"/>
            </w:tcBorders>
          </w:tcPr>
          <w:p w:rsidR="001758E8" w:rsidRPr="00F904A3" w:rsidRDefault="00D7036D" w:rsidP="00FC7CE1">
            <w:pPr>
              <w:rPr>
                <w:rStyle w:val="Emphasis"/>
              </w:rPr>
            </w:pPr>
            <w:r w:rsidRPr="00504217">
              <w:rPr>
                <w:b/>
                <w:bCs/>
                <w:i/>
                <w:iCs/>
              </w:rPr>
              <w:t>avec la participation de</w:t>
            </w:r>
            <w:r w:rsidRPr="00504217">
              <w:rPr>
                <w:b/>
                <w:bCs/>
                <w:i/>
                <w:iCs/>
                <w:lang w:val="en-GB"/>
              </w:rPr>
              <w:t>:</w:t>
            </w:r>
          </w:p>
          <w:p w:rsidR="001758E8" w:rsidRPr="00F904A3" w:rsidRDefault="001758E8" w:rsidP="00FC7CE1">
            <w:pPr>
              <w:rPr>
                <w:rStyle w:val="BRNormal"/>
              </w:rPr>
            </w:pPr>
          </w:p>
        </w:tc>
      </w:tr>
      <w:tr w:rsidR="001758E8" w:rsidRPr="00F904A3" w:rsidTr="002B0C66">
        <w:tc>
          <w:tcPr>
            <w:tcW w:w="9855" w:type="dxa"/>
            <w:gridSpan w:val="3"/>
            <w:tcBorders>
              <w:top w:val="single" w:sz="4" w:space="0" w:color="auto"/>
              <w:left w:val="nil"/>
              <w:bottom w:val="single" w:sz="4" w:space="0" w:color="auto"/>
              <w:right w:val="nil"/>
            </w:tcBorders>
          </w:tcPr>
          <w:p w:rsidR="001758E8" w:rsidRPr="00D7036D" w:rsidRDefault="00D7036D" w:rsidP="002B0C66">
            <w:pPr>
              <w:rPr>
                <w:rStyle w:val="Emphasis"/>
                <w:lang w:val="fr-CH"/>
              </w:rPr>
            </w:pPr>
            <w:r w:rsidRPr="0014454C">
              <w:rPr>
                <w:b/>
                <w:bCs/>
                <w:i/>
                <w:iCs/>
                <w:lang w:val="fr-CH"/>
              </w:rPr>
              <w:t>Commissions d'études de l'UIT-R concernées</w:t>
            </w:r>
            <w:r w:rsidRPr="009E4745">
              <w:rPr>
                <w:b/>
                <w:i/>
                <w:color w:val="000000"/>
                <w:lang w:val="fr-CH"/>
              </w:rPr>
              <w:t>:</w:t>
            </w:r>
          </w:p>
          <w:p w:rsidR="001758E8" w:rsidRPr="00F904A3" w:rsidRDefault="00FC7CE1" w:rsidP="00FC7CE1">
            <w:pPr>
              <w:rPr>
                <w:rStyle w:val="BRNormal"/>
              </w:rPr>
            </w:pPr>
            <w:r>
              <w:rPr>
                <w:rStyle w:val="BRNormal"/>
              </w:rPr>
              <w:t>CE</w:t>
            </w:r>
            <w:r w:rsidR="001758E8">
              <w:rPr>
                <w:rStyle w:val="BRNormal"/>
              </w:rPr>
              <w:t xml:space="preserve"> 4, </w:t>
            </w:r>
            <w:r>
              <w:rPr>
                <w:rStyle w:val="BRNormal"/>
              </w:rPr>
              <w:t>CE</w:t>
            </w:r>
            <w:r w:rsidR="001758E8">
              <w:rPr>
                <w:rStyle w:val="BRNormal"/>
              </w:rPr>
              <w:t> </w:t>
            </w:r>
            <w:r w:rsidR="001758E8" w:rsidRPr="00F904A3">
              <w:rPr>
                <w:rStyle w:val="BRNormal"/>
              </w:rPr>
              <w:t>5</w:t>
            </w:r>
            <w:r w:rsidR="001758E8">
              <w:rPr>
                <w:rStyle w:val="BRNormal"/>
              </w:rPr>
              <w:t xml:space="preserve">, </w:t>
            </w:r>
            <w:r>
              <w:rPr>
                <w:rStyle w:val="BRNormal"/>
              </w:rPr>
              <w:t>CE</w:t>
            </w:r>
            <w:r w:rsidR="001758E8">
              <w:rPr>
                <w:rStyle w:val="BRNormal"/>
              </w:rPr>
              <w:t> 7</w:t>
            </w:r>
          </w:p>
        </w:tc>
      </w:tr>
      <w:tr w:rsidR="001758E8" w:rsidRPr="00107DC2" w:rsidTr="002B0C66">
        <w:tc>
          <w:tcPr>
            <w:tcW w:w="9855" w:type="dxa"/>
            <w:gridSpan w:val="3"/>
            <w:tcBorders>
              <w:top w:val="single" w:sz="4" w:space="0" w:color="auto"/>
              <w:left w:val="nil"/>
              <w:bottom w:val="single" w:sz="4" w:space="0" w:color="auto"/>
              <w:right w:val="nil"/>
            </w:tcBorders>
          </w:tcPr>
          <w:p w:rsidR="001758E8" w:rsidRPr="00D7036D" w:rsidRDefault="00D7036D" w:rsidP="00FC7CE1">
            <w:pPr>
              <w:rPr>
                <w:rStyle w:val="Emphasis"/>
                <w:lang w:val="fr-CH"/>
              </w:rPr>
            </w:pPr>
            <w:r w:rsidRPr="0014454C">
              <w:rPr>
                <w:b/>
                <w:bCs/>
                <w:i/>
                <w:iCs/>
              </w:rPr>
              <w:t>Répercussions au niveau des ressources de l'UIT, y compris incidences financières</w:t>
            </w:r>
            <w:r w:rsidRPr="0014454C">
              <w:rPr>
                <w:b/>
                <w:bCs/>
                <w:i/>
                <w:iCs/>
              </w:rPr>
              <w:br/>
              <w:t>(voir le numéro 126 de la Convention):</w:t>
            </w:r>
          </w:p>
          <w:p w:rsidR="001758E8" w:rsidRPr="00FC7CE1" w:rsidRDefault="00FC7CE1" w:rsidP="00DE4AEB">
            <w:pPr>
              <w:rPr>
                <w:rStyle w:val="BRNormal"/>
                <w:rFonts w:eastAsiaTheme="minorEastAsia"/>
                <w:lang w:val="fr-CH"/>
              </w:rPr>
            </w:pPr>
            <w:r w:rsidRPr="00FC7CE1">
              <w:rPr>
                <w:rStyle w:val="BRNormal"/>
                <w:rFonts w:eastAsiaTheme="minorEastAsia"/>
                <w:lang w:val="fr-CH"/>
              </w:rPr>
              <w:t xml:space="preserve">Ce projet de point de l'ordre du jour sera traité dans le cadre des procédures normales et du budget </w:t>
            </w:r>
            <w:r>
              <w:rPr>
                <w:rStyle w:val="BRNormal"/>
                <w:rFonts w:eastAsiaTheme="minorEastAsia"/>
                <w:lang w:val="fr-CH"/>
              </w:rPr>
              <w:t xml:space="preserve">prévu </w:t>
            </w:r>
            <w:r w:rsidRPr="00FC7CE1">
              <w:rPr>
                <w:rStyle w:val="BRNormal"/>
                <w:rFonts w:eastAsiaTheme="minorEastAsia"/>
                <w:lang w:val="fr-CH"/>
              </w:rPr>
              <w:t>de l'UIT</w:t>
            </w:r>
            <w:r w:rsidRPr="00FC7CE1">
              <w:rPr>
                <w:rStyle w:val="BRNormal"/>
                <w:rFonts w:eastAsiaTheme="minorEastAsia"/>
                <w:lang w:val="fr-CH"/>
              </w:rPr>
              <w:noBreakHyphen/>
            </w:r>
            <w:r>
              <w:rPr>
                <w:rStyle w:val="BRNormal"/>
                <w:rFonts w:eastAsiaTheme="minorEastAsia"/>
                <w:lang w:val="fr-CH"/>
              </w:rPr>
              <w:t>R.</w:t>
            </w:r>
          </w:p>
        </w:tc>
      </w:tr>
      <w:tr w:rsidR="001758E8" w:rsidRPr="001758E8" w:rsidTr="002B0C66">
        <w:tc>
          <w:tcPr>
            <w:tcW w:w="4927" w:type="dxa"/>
            <w:gridSpan w:val="2"/>
            <w:tcBorders>
              <w:top w:val="single" w:sz="4" w:space="0" w:color="auto"/>
              <w:left w:val="nil"/>
              <w:bottom w:val="single" w:sz="4" w:space="0" w:color="auto"/>
              <w:right w:val="nil"/>
            </w:tcBorders>
          </w:tcPr>
          <w:p w:rsidR="001758E8" w:rsidRPr="00F904A3" w:rsidRDefault="00D7036D" w:rsidP="00FC7CE1">
            <w:pPr>
              <w:rPr>
                <w:rStyle w:val="BRNormal"/>
              </w:rPr>
            </w:pPr>
            <w:r w:rsidRPr="00695ABE">
              <w:rPr>
                <w:b/>
                <w:bCs/>
                <w:i/>
                <w:iCs/>
              </w:rPr>
              <w:t>Proposition régionale commune:</w:t>
            </w:r>
            <w:r w:rsidRPr="009217A6">
              <w:rPr>
                <w:b/>
                <w:bCs/>
              </w:rPr>
              <w:t xml:space="preserve"> </w:t>
            </w:r>
            <w:r w:rsidR="001758E8">
              <w:rPr>
                <w:rStyle w:val="BRNormal"/>
              </w:rPr>
              <w:t>No</w:t>
            </w:r>
            <w:r>
              <w:rPr>
                <w:rStyle w:val="BRNormal"/>
              </w:rPr>
              <w:t>n</w:t>
            </w:r>
          </w:p>
        </w:tc>
        <w:tc>
          <w:tcPr>
            <w:tcW w:w="4928" w:type="dxa"/>
            <w:tcBorders>
              <w:top w:val="single" w:sz="4" w:space="0" w:color="auto"/>
              <w:left w:val="nil"/>
              <w:bottom w:val="single" w:sz="4" w:space="0" w:color="auto"/>
              <w:right w:val="nil"/>
            </w:tcBorders>
          </w:tcPr>
          <w:p w:rsidR="001758E8" w:rsidRPr="00D7036D" w:rsidRDefault="00D7036D" w:rsidP="00FC7CE1">
            <w:pPr>
              <w:rPr>
                <w:rStyle w:val="BRNormal"/>
                <w:lang w:val="fr-CH"/>
              </w:rPr>
            </w:pPr>
            <w:r w:rsidRPr="00695ABE">
              <w:rPr>
                <w:b/>
                <w:bCs/>
                <w:i/>
                <w:iCs/>
              </w:rPr>
              <w:t>Proposition soumise par plusieurs pays:</w:t>
            </w:r>
            <w:r w:rsidR="001758E8" w:rsidRPr="00D7036D">
              <w:rPr>
                <w:rStyle w:val="BRNormal"/>
                <w:lang w:val="fr-CH"/>
              </w:rPr>
              <w:t xml:space="preserve"> </w:t>
            </w:r>
            <w:r w:rsidRPr="00D7036D">
              <w:rPr>
                <w:rStyle w:val="BRNormal"/>
                <w:lang w:val="fr-CH"/>
              </w:rPr>
              <w:t>Oui</w:t>
            </w:r>
          </w:p>
          <w:p w:rsidR="001758E8" w:rsidRPr="001758E8" w:rsidRDefault="00D7036D" w:rsidP="00FC7CE1">
            <w:pPr>
              <w:rPr>
                <w:rStyle w:val="Emphasis"/>
                <w:i w:val="0"/>
                <w:lang w:val="en-US"/>
              </w:rPr>
            </w:pPr>
            <w:r w:rsidRPr="003A2ED4">
              <w:rPr>
                <w:b/>
                <w:bCs/>
                <w:i/>
                <w:iCs/>
                <w:lang w:val="fr-CH"/>
              </w:rPr>
              <w:t>Nombre de pays:</w:t>
            </w:r>
            <w:r w:rsidR="001758E8" w:rsidRPr="001758E8">
              <w:rPr>
                <w:rStyle w:val="Emphasis"/>
                <w:lang w:val="en-US"/>
              </w:rPr>
              <w:tab/>
              <w:t>10</w:t>
            </w:r>
          </w:p>
          <w:p w:rsidR="001758E8" w:rsidRPr="001758E8" w:rsidRDefault="001758E8" w:rsidP="00FC7CE1">
            <w:pPr>
              <w:rPr>
                <w:rStyle w:val="BRNormal"/>
                <w:lang w:val="en-US"/>
              </w:rPr>
            </w:pPr>
          </w:p>
        </w:tc>
      </w:tr>
      <w:tr w:rsidR="001758E8" w:rsidRPr="00F904A3" w:rsidTr="002B0C66">
        <w:tc>
          <w:tcPr>
            <w:tcW w:w="9855" w:type="dxa"/>
            <w:gridSpan w:val="3"/>
            <w:tcBorders>
              <w:top w:val="single" w:sz="4" w:space="0" w:color="auto"/>
              <w:left w:val="nil"/>
              <w:bottom w:val="nil"/>
              <w:right w:val="nil"/>
            </w:tcBorders>
          </w:tcPr>
          <w:p w:rsidR="001758E8" w:rsidRPr="00F904A3" w:rsidRDefault="00D7036D" w:rsidP="002B0C66">
            <w:pPr>
              <w:rPr>
                <w:rStyle w:val="Emphasis"/>
              </w:rPr>
            </w:pPr>
            <w:r w:rsidRPr="003A2ED4">
              <w:rPr>
                <w:b/>
                <w:bCs/>
                <w:i/>
                <w:iCs/>
              </w:rPr>
              <w:t>Observations</w:t>
            </w:r>
          </w:p>
          <w:p w:rsidR="001758E8" w:rsidRPr="00F904A3" w:rsidRDefault="001758E8" w:rsidP="002B0C66">
            <w:pPr>
              <w:rPr>
                <w:rStyle w:val="BRNormal"/>
              </w:rPr>
            </w:pPr>
          </w:p>
        </w:tc>
      </w:tr>
    </w:tbl>
    <w:p w:rsidR="001758E8" w:rsidRDefault="001758E8" w:rsidP="00DA4739">
      <w:pPr>
        <w:pStyle w:val="Reasons"/>
        <w:rPr>
          <w:lang w:val="en-US"/>
        </w:rPr>
      </w:pPr>
    </w:p>
    <w:p w:rsidR="00DA4739" w:rsidRDefault="00DA4739" w:rsidP="002B0C66">
      <w:pPr>
        <w:pStyle w:val="Reasons"/>
      </w:pPr>
    </w:p>
    <w:p w:rsidR="00DA4739" w:rsidRDefault="00DA4739">
      <w:pPr>
        <w:jc w:val="center"/>
      </w:pPr>
      <w:r>
        <w:t>______________</w:t>
      </w:r>
    </w:p>
    <w:p w:rsidR="00DA4739" w:rsidRPr="001758E8" w:rsidRDefault="00DA4739" w:rsidP="00DA4739">
      <w:pPr>
        <w:pStyle w:val="Reasons"/>
        <w:rPr>
          <w:lang w:val="en-US"/>
        </w:rPr>
      </w:pPr>
    </w:p>
    <w:sectPr w:rsidR="00DA4739" w:rsidRPr="001758E8">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C66" w:rsidRDefault="002B0C66">
      <w:r>
        <w:separator/>
      </w:r>
    </w:p>
  </w:endnote>
  <w:endnote w:type="continuationSeparator" w:id="0">
    <w:p w:rsidR="002B0C66" w:rsidRDefault="002B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C66" w:rsidRDefault="002B0C66">
    <w:pPr>
      <w:rPr>
        <w:lang w:val="en-US"/>
      </w:rPr>
    </w:pPr>
    <w:r>
      <w:fldChar w:fldCharType="begin"/>
    </w:r>
    <w:r>
      <w:rPr>
        <w:lang w:val="en-US"/>
      </w:rPr>
      <w:instrText xml:space="preserve"> FILENAME \p  \* MERGEFORMAT </w:instrText>
    </w:r>
    <w:r>
      <w:fldChar w:fldCharType="separate"/>
    </w:r>
    <w:r w:rsidR="002D2650">
      <w:rPr>
        <w:noProof/>
        <w:lang w:val="en-US"/>
      </w:rPr>
      <w:t>P:\TRAD\F\LING\Manouvrier\CMR-15\388555.docx</w:t>
    </w:r>
    <w:r>
      <w:fldChar w:fldCharType="end"/>
    </w:r>
    <w:r>
      <w:rPr>
        <w:lang w:val="en-US"/>
      </w:rPr>
      <w:tab/>
    </w:r>
    <w:r>
      <w:fldChar w:fldCharType="begin"/>
    </w:r>
    <w:r>
      <w:instrText xml:space="preserve"> SAVEDATE \@ DD.MM.YY </w:instrText>
    </w:r>
    <w:r>
      <w:fldChar w:fldCharType="separate"/>
    </w:r>
    <w:r w:rsidR="00D33338">
      <w:rPr>
        <w:noProof/>
      </w:rPr>
      <w:t>30.10.15</w:t>
    </w:r>
    <w:r>
      <w:fldChar w:fldCharType="end"/>
    </w:r>
    <w:r>
      <w:rPr>
        <w:lang w:val="en-US"/>
      </w:rPr>
      <w:tab/>
    </w:r>
    <w:r>
      <w:fldChar w:fldCharType="begin"/>
    </w:r>
    <w:r>
      <w:instrText xml:space="preserve"> PRINTDATE \@ DD.MM.YY </w:instrText>
    </w:r>
    <w:r>
      <w:fldChar w:fldCharType="separate"/>
    </w:r>
    <w:r w:rsidR="002D2650">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C66" w:rsidRPr="00C33BE0" w:rsidRDefault="002B0C66" w:rsidP="00B60F4E">
    <w:pPr>
      <w:pStyle w:val="Footer"/>
      <w:rPr>
        <w:lang w:val="es-ES_tradnl"/>
      </w:rPr>
    </w:pPr>
    <w:r>
      <w:fldChar w:fldCharType="begin"/>
    </w:r>
    <w:r w:rsidRPr="00C33BE0">
      <w:rPr>
        <w:lang w:val="es-ES_tradnl"/>
      </w:rPr>
      <w:instrText xml:space="preserve"> FILENAME \p  \* MERGEFORMAT </w:instrText>
    </w:r>
    <w:r>
      <w:fldChar w:fldCharType="separate"/>
    </w:r>
    <w:r w:rsidR="00B60F4E">
      <w:rPr>
        <w:lang w:val="es-ES_tradnl"/>
      </w:rPr>
      <w:t>P:\FRA\ITU-R\CONF-R\CMR15\000\081REV1F.docx</w:t>
    </w:r>
    <w:r>
      <w:fldChar w:fldCharType="end"/>
    </w:r>
    <w:r w:rsidRPr="00C33BE0">
      <w:rPr>
        <w:lang w:val="es-ES_tradnl"/>
      </w:rPr>
      <w:t xml:space="preserve"> (38</w:t>
    </w:r>
    <w:r w:rsidR="00B60F4E">
      <w:rPr>
        <w:lang w:val="es-ES_tradnl"/>
      </w:rPr>
      <w:t>9487</w:t>
    </w:r>
    <w:r w:rsidRPr="00C33BE0">
      <w:rPr>
        <w:lang w:val="es-ES_tradnl"/>
      </w:rPr>
      <w:t>)</w:t>
    </w:r>
    <w:r w:rsidRPr="00C33BE0">
      <w:rPr>
        <w:lang w:val="es-ES_tradnl"/>
      </w:rPr>
      <w:tab/>
    </w:r>
    <w:r>
      <w:fldChar w:fldCharType="begin"/>
    </w:r>
    <w:r>
      <w:instrText xml:space="preserve"> SAVEDATE \@ DD.MM.YY </w:instrText>
    </w:r>
    <w:r>
      <w:fldChar w:fldCharType="separate"/>
    </w:r>
    <w:r w:rsidR="00D33338">
      <w:t>30.10.15</w:t>
    </w:r>
    <w:r>
      <w:fldChar w:fldCharType="end"/>
    </w:r>
    <w:r w:rsidRPr="00C33BE0">
      <w:rPr>
        <w:lang w:val="es-ES_tradnl"/>
      </w:rPr>
      <w:tab/>
    </w:r>
    <w:r>
      <w:fldChar w:fldCharType="begin"/>
    </w:r>
    <w:r>
      <w:instrText xml:space="preserve"> PRINTDATE \@ DD.MM.YY </w:instrText>
    </w:r>
    <w:r>
      <w:fldChar w:fldCharType="separate"/>
    </w:r>
    <w:r w:rsidR="00C33BE0">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C66" w:rsidRPr="00C33BE0" w:rsidRDefault="002B0C66" w:rsidP="00B60F4E">
    <w:pPr>
      <w:pStyle w:val="Footer"/>
      <w:rPr>
        <w:lang w:val="es-ES_tradnl"/>
      </w:rPr>
    </w:pPr>
    <w:r>
      <w:fldChar w:fldCharType="begin"/>
    </w:r>
    <w:r w:rsidRPr="00C33BE0">
      <w:rPr>
        <w:lang w:val="es-ES_tradnl"/>
      </w:rPr>
      <w:instrText xml:space="preserve"> FILENAME \p  \* MERGEFORMAT </w:instrText>
    </w:r>
    <w:r>
      <w:fldChar w:fldCharType="separate"/>
    </w:r>
    <w:r w:rsidR="00B60F4E">
      <w:rPr>
        <w:lang w:val="es-ES_tradnl"/>
      </w:rPr>
      <w:t>P:\FRA\ITU-R\CONF-R\CMR15\000\081REV1F.docx</w:t>
    </w:r>
    <w:r>
      <w:fldChar w:fldCharType="end"/>
    </w:r>
    <w:r w:rsidRPr="00C33BE0">
      <w:rPr>
        <w:lang w:val="es-ES_tradnl"/>
      </w:rPr>
      <w:t xml:space="preserve"> (38</w:t>
    </w:r>
    <w:r w:rsidR="00B60F4E">
      <w:rPr>
        <w:lang w:val="es-ES_tradnl"/>
      </w:rPr>
      <w:t>9487</w:t>
    </w:r>
    <w:r w:rsidRPr="00C33BE0">
      <w:rPr>
        <w:lang w:val="es-ES_tradnl"/>
      </w:rPr>
      <w:t>)</w:t>
    </w:r>
    <w:r w:rsidRPr="00C33BE0">
      <w:rPr>
        <w:lang w:val="es-ES_tradnl"/>
      </w:rPr>
      <w:tab/>
    </w:r>
    <w:r>
      <w:fldChar w:fldCharType="begin"/>
    </w:r>
    <w:r>
      <w:instrText xml:space="preserve"> SAVEDATE \@ DD.MM.YY </w:instrText>
    </w:r>
    <w:r>
      <w:fldChar w:fldCharType="separate"/>
    </w:r>
    <w:r w:rsidR="00D33338">
      <w:t>30.10.15</w:t>
    </w:r>
    <w:r>
      <w:fldChar w:fldCharType="end"/>
    </w:r>
    <w:r w:rsidRPr="00C33BE0">
      <w:rPr>
        <w:lang w:val="es-ES_tradnl"/>
      </w:rPr>
      <w:tab/>
    </w:r>
    <w:r>
      <w:fldChar w:fldCharType="begin"/>
    </w:r>
    <w:r>
      <w:instrText xml:space="preserve"> PRINTDATE \@ DD.MM.YY </w:instrText>
    </w:r>
    <w:r>
      <w:fldChar w:fldCharType="separate"/>
    </w:r>
    <w:r w:rsidR="00C33BE0">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C66" w:rsidRDefault="002B0C66">
      <w:r>
        <w:rPr>
          <w:b/>
        </w:rPr>
        <w:t>_______________</w:t>
      </w:r>
    </w:p>
  </w:footnote>
  <w:footnote w:type="continuationSeparator" w:id="0">
    <w:p w:rsidR="002B0C66" w:rsidRDefault="002B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C66" w:rsidRDefault="002B0C66" w:rsidP="004F1F8E">
    <w:pPr>
      <w:pStyle w:val="Header"/>
    </w:pPr>
    <w:r>
      <w:fldChar w:fldCharType="begin"/>
    </w:r>
    <w:r>
      <w:instrText xml:space="preserve"> PAGE </w:instrText>
    </w:r>
    <w:r>
      <w:fldChar w:fldCharType="separate"/>
    </w:r>
    <w:r w:rsidR="00B60F4E">
      <w:rPr>
        <w:noProof/>
      </w:rPr>
      <w:t>8</w:t>
    </w:r>
    <w:r>
      <w:fldChar w:fldCharType="end"/>
    </w:r>
  </w:p>
  <w:p w:rsidR="002B0C66" w:rsidRDefault="002B0C66" w:rsidP="002C28A4">
    <w:pPr>
      <w:pStyle w:val="Header"/>
    </w:pPr>
    <w:r>
      <w:t>CMR15/81</w:t>
    </w:r>
    <w:r w:rsidR="00D33338">
      <w:t>(Rév.1)</w:t>
    </w:r>
    <w:r>
      <w:t>-</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24F39"/>
    <w:rsid w:val="0003522F"/>
    <w:rsid w:val="00080E2C"/>
    <w:rsid w:val="000A4755"/>
    <w:rsid w:val="000B2E0C"/>
    <w:rsid w:val="000B3D0C"/>
    <w:rsid w:val="000C641A"/>
    <w:rsid w:val="000F745E"/>
    <w:rsid w:val="00105BFF"/>
    <w:rsid w:val="00106380"/>
    <w:rsid w:val="00107DC2"/>
    <w:rsid w:val="001167B9"/>
    <w:rsid w:val="001267A0"/>
    <w:rsid w:val="0013782C"/>
    <w:rsid w:val="0015203F"/>
    <w:rsid w:val="00160C64"/>
    <w:rsid w:val="001758E8"/>
    <w:rsid w:val="0018169B"/>
    <w:rsid w:val="0019352B"/>
    <w:rsid w:val="001960D0"/>
    <w:rsid w:val="001F17E8"/>
    <w:rsid w:val="00204306"/>
    <w:rsid w:val="00232FD2"/>
    <w:rsid w:val="00264D76"/>
    <w:rsid w:val="0026554E"/>
    <w:rsid w:val="00271AF1"/>
    <w:rsid w:val="002A4622"/>
    <w:rsid w:val="002A6F8F"/>
    <w:rsid w:val="002B0C66"/>
    <w:rsid w:val="002B17E5"/>
    <w:rsid w:val="002C0EBF"/>
    <w:rsid w:val="002C28A4"/>
    <w:rsid w:val="002D2650"/>
    <w:rsid w:val="002F4774"/>
    <w:rsid w:val="00315AFE"/>
    <w:rsid w:val="00323248"/>
    <w:rsid w:val="003606A6"/>
    <w:rsid w:val="0036650C"/>
    <w:rsid w:val="003918CE"/>
    <w:rsid w:val="00393ACD"/>
    <w:rsid w:val="003A583E"/>
    <w:rsid w:val="003B1F6C"/>
    <w:rsid w:val="003B455F"/>
    <w:rsid w:val="003E112B"/>
    <w:rsid w:val="003E1D1C"/>
    <w:rsid w:val="003E7B05"/>
    <w:rsid w:val="00400219"/>
    <w:rsid w:val="004338F3"/>
    <w:rsid w:val="00451B7F"/>
    <w:rsid w:val="00466211"/>
    <w:rsid w:val="00475787"/>
    <w:rsid w:val="00477BE7"/>
    <w:rsid w:val="004834A9"/>
    <w:rsid w:val="004D01FC"/>
    <w:rsid w:val="004E28C3"/>
    <w:rsid w:val="004F1F8E"/>
    <w:rsid w:val="00512A32"/>
    <w:rsid w:val="00532240"/>
    <w:rsid w:val="00586CF2"/>
    <w:rsid w:val="005C3768"/>
    <w:rsid w:val="005C6C3F"/>
    <w:rsid w:val="00613635"/>
    <w:rsid w:val="0062093D"/>
    <w:rsid w:val="00637ECF"/>
    <w:rsid w:val="0064436C"/>
    <w:rsid w:val="00644A16"/>
    <w:rsid w:val="00647B59"/>
    <w:rsid w:val="00690C7B"/>
    <w:rsid w:val="006A4B45"/>
    <w:rsid w:val="006D4724"/>
    <w:rsid w:val="006D669A"/>
    <w:rsid w:val="006D71FC"/>
    <w:rsid w:val="006F1BA4"/>
    <w:rsid w:val="00701BAE"/>
    <w:rsid w:val="00721F04"/>
    <w:rsid w:val="00730E95"/>
    <w:rsid w:val="00741D78"/>
    <w:rsid w:val="007426B9"/>
    <w:rsid w:val="00764342"/>
    <w:rsid w:val="00774362"/>
    <w:rsid w:val="00786598"/>
    <w:rsid w:val="007A04E8"/>
    <w:rsid w:val="007D3151"/>
    <w:rsid w:val="00851625"/>
    <w:rsid w:val="00863C0A"/>
    <w:rsid w:val="008767C0"/>
    <w:rsid w:val="008A3120"/>
    <w:rsid w:val="008A371D"/>
    <w:rsid w:val="008A716B"/>
    <w:rsid w:val="008D41BE"/>
    <w:rsid w:val="008D58D3"/>
    <w:rsid w:val="008E0FC9"/>
    <w:rsid w:val="009145FD"/>
    <w:rsid w:val="00923064"/>
    <w:rsid w:val="0092346B"/>
    <w:rsid w:val="00930FFD"/>
    <w:rsid w:val="00936D25"/>
    <w:rsid w:val="00941EA5"/>
    <w:rsid w:val="00942661"/>
    <w:rsid w:val="00946F8B"/>
    <w:rsid w:val="00960442"/>
    <w:rsid w:val="00962E61"/>
    <w:rsid w:val="00964700"/>
    <w:rsid w:val="00966C16"/>
    <w:rsid w:val="009823C3"/>
    <w:rsid w:val="0098732F"/>
    <w:rsid w:val="009A045F"/>
    <w:rsid w:val="009C7E7C"/>
    <w:rsid w:val="009E1020"/>
    <w:rsid w:val="009E6CC4"/>
    <w:rsid w:val="00A00473"/>
    <w:rsid w:val="00A03C9B"/>
    <w:rsid w:val="00A27C91"/>
    <w:rsid w:val="00A36147"/>
    <w:rsid w:val="00A37105"/>
    <w:rsid w:val="00A45E44"/>
    <w:rsid w:val="00A606C3"/>
    <w:rsid w:val="00A615C2"/>
    <w:rsid w:val="00A83B09"/>
    <w:rsid w:val="00A84541"/>
    <w:rsid w:val="00AD7909"/>
    <w:rsid w:val="00AE36A0"/>
    <w:rsid w:val="00B00294"/>
    <w:rsid w:val="00B45F1B"/>
    <w:rsid w:val="00B60F4E"/>
    <w:rsid w:val="00B64FD0"/>
    <w:rsid w:val="00BA5BD0"/>
    <w:rsid w:val="00BB1D82"/>
    <w:rsid w:val="00BD59F8"/>
    <w:rsid w:val="00BF26E7"/>
    <w:rsid w:val="00C26BF4"/>
    <w:rsid w:val="00C33BE0"/>
    <w:rsid w:val="00C3475D"/>
    <w:rsid w:val="00C53FCA"/>
    <w:rsid w:val="00C76BAF"/>
    <w:rsid w:val="00C814B9"/>
    <w:rsid w:val="00C97057"/>
    <w:rsid w:val="00CA0D32"/>
    <w:rsid w:val="00CB2E6B"/>
    <w:rsid w:val="00CC3490"/>
    <w:rsid w:val="00CD4F65"/>
    <w:rsid w:val="00CD516F"/>
    <w:rsid w:val="00D119A7"/>
    <w:rsid w:val="00D25FBA"/>
    <w:rsid w:val="00D31A56"/>
    <w:rsid w:val="00D32B28"/>
    <w:rsid w:val="00D33338"/>
    <w:rsid w:val="00D42954"/>
    <w:rsid w:val="00D66EAC"/>
    <w:rsid w:val="00D7036D"/>
    <w:rsid w:val="00D730DF"/>
    <w:rsid w:val="00D772F0"/>
    <w:rsid w:val="00D77BDC"/>
    <w:rsid w:val="00D8002E"/>
    <w:rsid w:val="00DA4739"/>
    <w:rsid w:val="00DC402B"/>
    <w:rsid w:val="00DD26E4"/>
    <w:rsid w:val="00DD3C99"/>
    <w:rsid w:val="00DE0932"/>
    <w:rsid w:val="00DE4AEB"/>
    <w:rsid w:val="00E03A27"/>
    <w:rsid w:val="00E049F1"/>
    <w:rsid w:val="00E2578D"/>
    <w:rsid w:val="00E33392"/>
    <w:rsid w:val="00E37713"/>
    <w:rsid w:val="00E37A25"/>
    <w:rsid w:val="00E537FF"/>
    <w:rsid w:val="00E61016"/>
    <w:rsid w:val="00E6539B"/>
    <w:rsid w:val="00E70A31"/>
    <w:rsid w:val="00E94F12"/>
    <w:rsid w:val="00EA20BC"/>
    <w:rsid w:val="00EA3F38"/>
    <w:rsid w:val="00EA5AB6"/>
    <w:rsid w:val="00EA608B"/>
    <w:rsid w:val="00EC7615"/>
    <w:rsid w:val="00ED16AA"/>
    <w:rsid w:val="00EF662E"/>
    <w:rsid w:val="00F01962"/>
    <w:rsid w:val="00F148F1"/>
    <w:rsid w:val="00F159C7"/>
    <w:rsid w:val="00F578A9"/>
    <w:rsid w:val="00F6525C"/>
    <w:rsid w:val="00F7604B"/>
    <w:rsid w:val="00F773FF"/>
    <w:rsid w:val="00F80838"/>
    <w:rsid w:val="00FA3BBF"/>
    <w:rsid w:val="00FB1F93"/>
    <w:rsid w:val="00FC043B"/>
    <w:rsid w:val="00FC41F8"/>
    <w:rsid w:val="00FC7CE1"/>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8D498F7-7E3A-42E0-B43F-3D371B41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C6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BRNormal">
    <w:name w:val="BR_Normal"/>
    <w:basedOn w:val="DefaultParagraphFont"/>
    <w:uiPriority w:val="1"/>
    <w:qFormat/>
    <w:rsid w:val="00960442"/>
  </w:style>
  <w:style w:type="character" w:styleId="Strong">
    <w:name w:val="Strong"/>
    <w:aliases w:val="ECC HL bold"/>
    <w:basedOn w:val="DefaultParagraphFont"/>
    <w:uiPriority w:val="1"/>
    <w:qFormat/>
    <w:rsid w:val="00F80838"/>
    <w:rPr>
      <w:b/>
      <w:bCs/>
    </w:rPr>
  </w:style>
  <w:style w:type="character" w:customStyle="1" w:styleId="AnnexNoCar">
    <w:name w:val="Annex_No Car"/>
    <w:basedOn w:val="DefaultParagraphFont"/>
    <w:link w:val="AnnexNo"/>
    <w:rsid w:val="001758E8"/>
    <w:rPr>
      <w:rFonts w:ascii="Times New Roman" w:hAnsi="Times New Roman"/>
      <w:caps/>
      <w:sz w:val="28"/>
      <w:lang w:val="fr-FR" w:eastAsia="en-US"/>
    </w:rPr>
  </w:style>
  <w:style w:type="paragraph" w:customStyle="1" w:styleId="ResTitle0">
    <w:name w:val="Res_Title"/>
    <w:basedOn w:val="Rectitle"/>
    <w:next w:val="Normal"/>
    <w:rsid w:val="001758E8"/>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ascii="Times New Roman" w:hAnsi="Times New Roman"/>
      <w:lang w:val="en-GB"/>
    </w:rPr>
  </w:style>
  <w:style w:type="character" w:customStyle="1" w:styleId="HeadingbChar">
    <w:name w:val="Heading_b Char"/>
    <w:basedOn w:val="DefaultParagraphFont"/>
    <w:link w:val="Headingb"/>
    <w:locked/>
    <w:rsid w:val="001758E8"/>
    <w:rPr>
      <w:rFonts w:ascii="Times New Roman" w:hAnsi="Times New Roman"/>
      <w:b/>
      <w:sz w:val="24"/>
      <w:lang w:val="fr-FR" w:eastAsia="en-US"/>
    </w:rPr>
  </w:style>
  <w:style w:type="character" w:styleId="Emphasis">
    <w:name w:val="Emphasis"/>
    <w:aliases w:val="ECC HL italics"/>
    <w:basedOn w:val="DefaultParagraphFont"/>
    <w:uiPriority w:val="99"/>
    <w:qFormat/>
    <w:rsid w:val="001758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R15-WRC15-C-0081!!MSW-F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61CE50C3-C4B1-4C69-ADA9-B84B38D2DE4D}">
  <ds:schemaRefs>
    <ds:schemaRef ds:uri="996b2e75-67fd-4955-a3b0-5ab9934cb50b"/>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dcmitype/"/>
    <ds:schemaRef ds:uri="32a1a8c5-2265-4ebc-b7a0-2071e2c5c9bb"/>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3107</Words>
  <Characters>17562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R15-WRC15-C-0081!!MSW-F</vt:lpstr>
    </vt:vector>
  </TitlesOfParts>
  <Manager>Secrétariat général - Pool</Manager>
  <Company>Union internationale des télécommunications (UIT)</Company>
  <LinksUpToDate>false</LinksUpToDate>
  <CharactersWithSpaces>20628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R15-WRC15-C-0081!!MSW-F</dc:title>
  <dc:subject>Conférence mondiale des radiocommunications - 2015</dc:subject>
  <dc:creator>Documents Proposals Manager (DPM)</dc:creator>
  <cp:keywords>DPM_v5.2015.10.15_prod</cp:keywords>
  <dc:description/>
  <cp:lastModifiedBy>Jones, Jacqueline</cp:lastModifiedBy>
  <cp:revision>3</cp:revision>
  <cp:lastPrinted>2015-10-22T15:34:00Z</cp:lastPrinted>
  <dcterms:created xsi:type="dcterms:W3CDTF">2015-10-31T21:02:00Z</dcterms:created>
  <dcterms:modified xsi:type="dcterms:W3CDTF">2015-10-31T21:03:00Z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