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90121B" w:rsidRPr="00AE1075" w:rsidTr="0050008E">
        <w:trPr>
          <w:cantSplit/>
        </w:trPr>
        <w:tc>
          <w:tcPr>
            <w:tcW w:w="6911" w:type="dxa"/>
          </w:tcPr>
          <w:p w:rsidR="0090121B" w:rsidRPr="00AE1075" w:rsidRDefault="005D46FB" w:rsidP="0002785D">
            <w:pPr>
              <w:spacing w:before="400" w:after="48" w:line="240" w:lineRule="atLeast"/>
              <w:rPr>
                <w:rFonts w:ascii="Verdana" w:hAnsi="Verdana"/>
                <w:position w:val="6"/>
              </w:rPr>
            </w:pPr>
            <w:r w:rsidRPr="00AE1075">
              <w:rPr>
                <w:rFonts w:ascii="Verdana" w:hAnsi="Verdana" w:cs="Times"/>
                <w:b/>
                <w:position w:val="6"/>
                <w:sz w:val="20"/>
              </w:rPr>
              <w:t>Conferencia Mundial de Radiocomunicaciones (CMR-15)</w:t>
            </w:r>
            <w:r w:rsidRPr="00AE1075">
              <w:rPr>
                <w:rFonts w:ascii="Verdana" w:hAnsi="Verdana" w:cs="Times"/>
                <w:b/>
                <w:position w:val="6"/>
                <w:sz w:val="20"/>
              </w:rPr>
              <w:br/>
            </w:r>
            <w:r w:rsidRPr="00AE1075"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Ginebra, 2-27 de noviembre de 2015</w:t>
            </w:r>
          </w:p>
        </w:tc>
        <w:tc>
          <w:tcPr>
            <w:tcW w:w="3120" w:type="dxa"/>
          </w:tcPr>
          <w:p w:rsidR="0090121B" w:rsidRPr="00AE1075" w:rsidRDefault="00CE7431" w:rsidP="00CE7431">
            <w:pPr>
              <w:spacing w:before="0" w:line="240" w:lineRule="atLeast"/>
              <w:jc w:val="right"/>
            </w:pPr>
            <w:bookmarkStart w:id="0" w:name="ditulogo"/>
            <w:bookmarkEnd w:id="0"/>
            <w:r w:rsidRPr="00AE1075">
              <w:rPr>
                <w:noProof/>
                <w:lang w:eastAsia="zh-CN"/>
              </w:rPr>
              <w:drawing>
                <wp:inline distT="0" distB="0" distL="0" distR="0" wp14:anchorId="359568FA" wp14:editId="3FE90B79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121B" w:rsidRPr="00AE1075" w:rsidTr="0050008E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90121B" w:rsidRPr="00AE1075" w:rsidRDefault="00CE7431" w:rsidP="0090121B">
            <w:pPr>
              <w:spacing w:before="0" w:after="48" w:line="240" w:lineRule="atLeast"/>
              <w:rPr>
                <w:b/>
                <w:smallCaps/>
                <w:szCs w:val="24"/>
              </w:rPr>
            </w:pPr>
            <w:bookmarkStart w:id="1" w:name="dhead"/>
            <w:r w:rsidRPr="00AE1075">
              <w:rPr>
                <w:rFonts w:ascii="Verdana" w:hAnsi="Verdana"/>
                <w:b/>
                <w:smallCaps/>
                <w:sz w:val="20"/>
              </w:rPr>
              <w:t>UNIÓN INTERNACIONAL DE TELECOMUNICACIONES</w:t>
            </w: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90121B" w:rsidRPr="00AE1075" w:rsidRDefault="0090121B" w:rsidP="0090121B">
            <w:pPr>
              <w:spacing w:before="0" w:line="240" w:lineRule="atLeast"/>
              <w:rPr>
                <w:rFonts w:ascii="Verdana" w:hAnsi="Verdana"/>
                <w:szCs w:val="24"/>
              </w:rPr>
            </w:pPr>
          </w:p>
        </w:tc>
      </w:tr>
      <w:tr w:rsidR="0090121B" w:rsidRPr="00AE1075" w:rsidTr="0090121B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90121B" w:rsidRPr="00AE1075" w:rsidRDefault="0090121B" w:rsidP="0090121B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90121B" w:rsidRPr="00AE1075" w:rsidRDefault="0090121B" w:rsidP="0090121B">
            <w:pPr>
              <w:spacing w:before="0" w:line="240" w:lineRule="atLeast"/>
              <w:rPr>
                <w:rFonts w:ascii="Verdana" w:hAnsi="Verdana"/>
                <w:sz w:val="20"/>
              </w:rPr>
            </w:pPr>
          </w:p>
        </w:tc>
      </w:tr>
      <w:tr w:rsidR="0090121B" w:rsidRPr="00AE1075" w:rsidTr="0090121B">
        <w:trPr>
          <w:cantSplit/>
        </w:trPr>
        <w:tc>
          <w:tcPr>
            <w:tcW w:w="6911" w:type="dxa"/>
            <w:shd w:val="clear" w:color="auto" w:fill="auto"/>
          </w:tcPr>
          <w:p w:rsidR="0090121B" w:rsidRPr="00AE1075" w:rsidRDefault="00AE658F" w:rsidP="0045384C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AE1075">
              <w:rPr>
                <w:rFonts w:ascii="Verdana" w:hAnsi="Verdana"/>
                <w:b/>
                <w:sz w:val="20"/>
              </w:rPr>
              <w:t>SESIÓN PLENARIA</w:t>
            </w:r>
          </w:p>
        </w:tc>
        <w:tc>
          <w:tcPr>
            <w:tcW w:w="3120" w:type="dxa"/>
            <w:shd w:val="clear" w:color="auto" w:fill="auto"/>
          </w:tcPr>
          <w:p w:rsidR="0090121B" w:rsidRPr="00AE1075" w:rsidRDefault="00AE658F" w:rsidP="0045384C">
            <w:pPr>
              <w:spacing w:before="0"/>
              <w:rPr>
                <w:rFonts w:ascii="Verdana" w:hAnsi="Verdana"/>
                <w:sz w:val="20"/>
              </w:rPr>
            </w:pPr>
            <w:r w:rsidRPr="00AE1075">
              <w:rPr>
                <w:rFonts w:ascii="Verdana" w:eastAsia="SimSun" w:hAnsi="Verdana" w:cs="Traditional Arabic"/>
                <w:b/>
                <w:sz w:val="20"/>
              </w:rPr>
              <w:t>Addéndum 9 al</w:t>
            </w:r>
            <w:r w:rsidRPr="00AE1075">
              <w:rPr>
                <w:rFonts w:ascii="Verdana" w:eastAsia="SimSun" w:hAnsi="Verdana" w:cs="Traditional Arabic"/>
                <w:b/>
                <w:sz w:val="20"/>
              </w:rPr>
              <w:br/>
              <w:t>Documento 82(Add.21)</w:t>
            </w:r>
            <w:r w:rsidR="0090121B" w:rsidRPr="00AE1075">
              <w:rPr>
                <w:rFonts w:ascii="Verdana" w:hAnsi="Verdana"/>
                <w:b/>
                <w:sz w:val="20"/>
              </w:rPr>
              <w:t>-</w:t>
            </w:r>
            <w:r w:rsidRPr="00AE1075">
              <w:rPr>
                <w:rFonts w:ascii="Verdana" w:hAnsi="Verdana"/>
                <w:b/>
                <w:sz w:val="20"/>
              </w:rPr>
              <w:t>S</w:t>
            </w:r>
          </w:p>
        </w:tc>
      </w:tr>
      <w:bookmarkEnd w:id="1"/>
      <w:tr w:rsidR="000A5B9A" w:rsidRPr="00AE1075" w:rsidTr="0090121B">
        <w:trPr>
          <w:cantSplit/>
        </w:trPr>
        <w:tc>
          <w:tcPr>
            <w:tcW w:w="6911" w:type="dxa"/>
            <w:shd w:val="clear" w:color="auto" w:fill="auto"/>
          </w:tcPr>
          <w:p w:rsidR="000A5B9A" w:rsidRPr="00AE1075" w:rsidRDefault="000A5B9A" w:rsidP="0045384C">
            <w:pPr>
              <w:spacing w:before="0" w:after="48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shd w:val="clear" w:color="auto" w:fill="auto"/>
          </w:tcPr>
          <w:p w:rsidR="000A5B9A" w:rsidRPr="00AE1075" w:rsidRDefault="000A5B9A" w:rsidP="0045384C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AE1075">
              <w:rPr>
                <w:rFonts w:ascii="Verdana" w:hAnsi="Verdana"/>
                <w:b/>
                <w:sz w:val="20"/>
              </w:rPr>
              <w:t>16 de octubre de 2015</w:t>
            </w:r>
          </w:p>
        </w:tc>
      </w:tr>
      <w:tr w:rsidR="000A5B9A" w:rsidRPr="00AE1075" w:rsidTr="0090121B">
        <w:trPr>
          <w:cantSplit/>
        </w:trPr>
        <w:tc>
          <w:tcPr>
            <w:tcW w:w="6911" w:type="dxa"/>
          </w:tcPr>
          <w:p w:rsidR="000A5B9A" w:rsidRPr="00AE1075" w:rsidRDefault="000A5B9A" w:rsidP="0045384C">
            <w:pPr>
              <w:spacing w:before="0" w:after="48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</w:tcPr>
          <w:p w:rsidR="000A5B9A" w:rsidRPr="00AE1075" w:rsidRDefault="000A5B9A" w:rsidP="0045384C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AE1075">
              <w:rPr>
                <w:rFonts w:ascii="Verdana" w:hAnsi="Verdana"/>
                <w:b/>
                <w:sz w:val="20"/>
              </w:rPr>
              <w:t>Original: inglés</w:t>
            </w:r>
          </w:p>
        </w:tc>
      </w:tr>
      <w:tr w:rsidR="000A5B9A" w:rsidRPr="00AE1075" w:rsidTr="006744FC">
        <w:trPr>
          <w:cantSplit/>
        </w:trPr>
        <w:tc>
          <w:tcPr>
            <w:tcW w:w="10031" w:type="dxa"/>
            <w:gridSpan w:val="2"/>
          </w:tcPr>
          <w:p w:rsidR="000A5B9A" w:rsidRPr="00AE1075" w:rsidRDefault="000A5B9A" w:rsidP="0045384C">
            <w:pPr>
              <w:spacing w:before="0"/>
              <w:rPr>
                <w:rFonts w:ascii="Verdana" w:hAnsi="Verdana"/>
                <w:b/>
                <w:sz w:val="20"/>
              </w:rPr>
            </w:pPr>
          </w:p>
        </w:tc>
      </w:tr>
      <w:tr w:rsidR="000A5B9A" w:rsidRPr="00AE1075" w:rsidTr="0050008E">
        <w:trPr>
          <w:cantSplit/>
        </w:trPr>
        <w:tc>
          <w:tcPr>
            <w:tcW w:w="10031" w:type="dxa"/>
            <w:gridSpan w:val="2"/>
          </w:tcPr>
          <w:p w:rsidR="000A5B9A" w:rsidRPr="00AE1075" w:rsidRDefault="000A5B9A" w:rsidP="000A5B9A">
            <w:pPr>
              <w:pStyle w:val="Source"/>
            </w:pPr>
            <w:bookmarkStart w:id="2" w:name="dsource" w:colFirst="0" w:colLast="0"/>
            <w:r w:rsidRPr="00AE1075">
              <w:t>Uganda (República de)</w:t>
            </w:r>
          </w:p>
        </w:tc>
      </w:tr>
      <w:tr w:rsidR="000A5B9A" w:rsidRPr="00AE1075" w:rsidTr="0050008E">
        <w:trPr>
          <w:cantSplit/>
        </w:trPr>
        <w:tc>
          <w:tcPr>
            <w:tcW w:w="10031" w:type="dxa"/>
            <w:gridSpan w:val="2"/>
          </w:tcPr>
          <w:p w:rsidR="000A5B9A" w:rsidRPr="00AE1075" w:rsidRDefault="00802A76" w:rsidP="000A5B9A">
            <w:pPr>
              <w:pStyle w:val="Title1"/>
            </w:pPr>
            <w:bookmarkStart w:id="3" w:name="dtitle1" w:colFirst="0" w:colLast="0"/>
            <w:bookmarkEnd w:id="2"/>
            <w:r w:rsidRPr="00AE1075">
              <w:t>propuestas para los trabajos de la conferencia</w:t>
            </w:r>
          </w:p>
        </w:tc>
      </w:tr>
      <w:tr w:rsidR="000A5B9A" w:rsidRPr="00AE1075" w:rsidTr="0050008E">
        <w:trPr>
          <w:cantSplit/>
        </w:trPr>
        <w:tc>
          <w:tcPr>
            <w:tcW w:w="10031" w:type="dxa"/>
            <w:gridSpan w:val="2"/>
          </w:tcPr>
          <w:p w:rsidR="000A5B9A" w:rsidRPr="00AE1075" w:rsidRDefault="000A5B9A" w:rsidP="000A5B9A">
            <w:pPr>
              <w:pStyle w:val="Title2"/>
            </w:pPr>
            <w:bookmarkStart w:id="4" w:name="dtitle2" w:colFirst="0" w:colLast="0"/>
            <w:bookmarkEnd w:id="3"/>
          </w:p>
        </w:tc>
      </w:tr>
      <w:tr w:rsidR="000A5B9A" w:rsidRPr="00AE1075" w:rsidTr="0050008E">
        <w:trPr>
          <w:cantSplit/>
        </w:trPr>
        <w:tc>
          <w:tcPr>
            <w:tcW w:w="10031" w:type="dxa"/>
            <w:gridSpan w:val="2"/>
          </w:tcPr>
          <w:p w:rsidR="000A5B9A" w:rsidRPr="00AE1075" w:rsidRDefault="000A5B9A" w:rsidP="000A5B9A">
            <w:pPr>
              <w:pStyle w:val="Agendaitem"/>
            </w:pPr>
            <w:bookmarkStart w:id="5" w:name="dtitle3" w:colFirst="0" w:colLast="0"/>
            <w:bookmarkEnd w:id="4"/>
            <w:r w:rsidRPr="00AE1075">
              <w:t>Punto 7(I) del orden del día</w:t>
            </w:r>
          </w:p>
        </w:tc>
      </w:tr>
    </w:tbl>
    <w:bookmarkEnd w:id="5"/>
    <w:p w:rsidR="001C0E40" w:rsidRPr="00AE1075" w:rsidRDefault="00A66856" w:rsidP="00512F4E">
      <w:r w:rsidRPr="00AE1075">
        <w:t>7</w:t>
      </w:r>
      <w:r w:rsidRPr="00AE1075">
        <w:tab/>
        <w:t xml:space="preserve">considerar posibles modificaciones y otras opciones como consecuencia de la Resolución 86 (Rev. Marrakech, 2002) de la Conferencia de Plenipotenciarios: «Procedimientos de publicación anticipada, de coordinación, de notificación y de inscripción de asignaciones de frecuencias de redes de satélite», de conformidad con la Resolución </w:t>
      </w:r>
      <w:r w:rsidRPr="00AE1075">
        <w:rPr>
          <w:b/>
          <w:bCs/>
        </w:rPr>
        <w:t>86 (Rev.CMR-07)</w:t>
      </w:r>
      <w:r w:rsidRPr="00AE1075">
        <w:t>, para facilitar la utilización racional, eficaz y económica de las frecuencias radioeléctricas y toda órbita asociada, incluida la órbita de los satélites geoestacionarios;</w:t>
      </w:r>
    </w:p>
    <w:p w:rsidR="001C0E40" w:rsidRPr="00AE1075" w:rsidRDefault="0081456C" w:rsidP="002478DC">
      <w:r w:rsidRPr="00AE1075">
        <w:t>7(I)</w:t>
      </w:r>
      <w:r w:rsidR="00A66856" w:rsidRPr="00AE1075">
        <w:tab/>
        <w:t>Tema I – Posible método para resolver el problema de la notificación excesiva de redes de satélite</w:t>
      </w:r>
    </w:p>
    <w:p w:rsidR="00753194" w:rsidRPr="00AE1075" w:rsidRDefault="00753194" w:rsidP="002478DC"/>
    <w:p w:rsidR="0019789D" w:rsidRPr="00AE1075" w:rsidRDefault="00C6236D" w:rsidP="00C6236D">
      <w:pPr>
        <w:pStyle w:val="Headingb"/>
      </w:pPr>
      <w:r w:rsidRPr="00AE1075">
        <w:t>Postura de Uganda</w:t>
      </w:r>
    </w:p>
    <w:p w:rsidR="0019789D" w:rsidRPr="00AE1075" w:rsidRDefault="0019789D" w:rsidP="0019789D">
      <w:r w:rsidRPr="00AE1075">
        <w:t>La postura de Uganda para solucionar el problema de las excesivas solicitudes de co</w:t>
      </w:r>
      <w:r w:rsidR="00C6236D" w:rsidRPr="00AE1075">
        <w:t>ordinación (CR/C): Método I 1.3.</w:t>
      </w:r>
    </w:p>
    <w:p w:rsidR="0019789D" w:rsidRPr="00AE1075" w:rsidRDefault="0019789D" w:rsidP="0019789D">
      <w:r w:rsidRPr="00AE1075">
        <w:rPr>
          <w:color w:val="000000"/>
        </w:rPr>
        <w:t>Este método consiste en aplicar los dos procedimientos descritos en los Métodos I1.1 e I1.2, pero la administración notificante podrá decidir si comunicar o no la información de notificación inicial con o sin la tramitación por la Oficina, en cuyo caso no deberá abonar las tasas en concepto de la recuperación de costes; en cambio, si la administración notificante considera necesario modificar los parámetros de notificación de la red en cuestión que presentó originalmente a los efectos de coordinación, podrá proceder a comunicar la notificación inicial que tramitará y examinará la Oficina.</w:t>
      </w:r>
    </w:p>
    <w:p w:rsidR="00363A65" w:rsidRPr="00AE1075" w:rsidRDefault="0019789D" w:rsidP="0019789D">
      <w:pPr>
        <w:pStyle w:val="Headingb"/>
      </w:pPr>
      <w:r w:rsidRPr="00AE1075">
        <w:t>Propuestas</w:t>
      </w:r>
    </w:p>
    <w:p w:rsidR="008750A8" w:rsidRPr="00AE1075" w:rsidRDefault="008750A8" w:rsidP="008750A8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AE1075">
        <w:br w:type="page"/>
      </w:r>
    </w:p>
    <w:p w:rsidR="00D65387" w:rsidRPr="00AE1075" w:rsidRDefault="00A66856">
      <w:pPr>
        <w:pStyle w:val="Proposal"/>
      </w:pPr>
      <w:r w:rsidRPr="00AE1075">
        <w:lastRenderedPageBreak/>
        <w:t>ADD</w:t>
      </w:r>
      <w:r w:rsidRPr="00AE1075">
        <w:tab/>
        <w:t>UGA/82A21A9/1</w:t>
      </w:r>
    </w:p>
    <w:p w:rsidR="00D65387" w:rsidRPr="00AE1075" w:rsidRDefault="00A66856">
      <w:pPr>
        <w:pStyle w:val="ResNo"/>
      </w:pPr>
      <w:r w:rsidRPr="00AE1075">
        <w:t>PROYECTO DE NUEVA RESOLUCIÓN [UGA-AI7-I1.1] (cmr-15)</w:t>
      </w:r>
    </w:p>
    <w:p w:rsidR="00D65387" w:rsidRPr="00AE1075" w:rsidRDefault="00F340E1">
      <w:pPr>
        <w:pStyle w:val="Restitle"/>
      </w:pPr>
      <w:r w:rsidRPr="00AE1075">
        <w:t>Disposiciones reglamentarias relativas a la notificación inicial de asignaciones de frecuencias a estaciones de radiocomunicaciones espaciales que están sujetas al procedimiento de coordinación con arreglo a la Sección II del Artículo 9</w:t>
      </w:r>
    </w:p>
    <w:p w:rsidR="00F340E1" w:rsidRPr="00AE1075" w:rsidRDefault="00F340E1" w:rsidP="00F340E1">
      <w:pPr>
        <w:pStyle w:val="Normalaftertitle"/>
      </w:pPr>
      <w:r w:rsidRPr="00AE1075">
        <w:t>La Conferencia Mundial de Radiocomunicaciones (Ginebra, 2015),</w:t>
      </w:r>
    </w:p>
    <w:p w:rsidR="00F340E1" w:rsidRPr="00AE1075" w:rsidRDefault="00F340E1" w:rsidP="00A04A63">
      <w:pPr>
        <w:pStyle w:val="Call"/>
      </w:pPr>
      <w:r w:rsidRPr="00AE1075">
        <w:t>considerando</w:t>
      </w:r>
    </w:p>
    <w:p w:rsidR="00F340E1" w:rsidRPr="00AE1075" w:rsidRDefault="00F340E1" w:rsidP="00F340E1">
      <w:pPr>
        <w:rPr>
          <w:color w:val="000000"/>
        </w:rPr>
      </w:pPr>
      <w:r w:rsidRPr="00AE1075">
        <w:rPr>
          <w:i/>
          <w:color w:val="000000"/>
        </w:rPr>
        <w:t>a)</w:t>
      </w:r>
      <w:r w:rsidRPr="00AE1075">
        <w:rPr>
          <w:color w:val="000000"/>
        </w:rPr>
        <w:tab/>
      </w:r>
      <w:r w:rsidRPr="00AE1075">
        <w:t>que es necesario utilizar de forma racional y eficaz el espectro de frecuencias y la órbita de los satélites geoestacionarios, y que conviene tomar en consideración las disposiciones de la Resolución </w:t>
      </w:r>
      <w:r w:rsidRPr="00AE1075">
        <w:rPr>
          <w:b/>
          <w:bCs/>
        </w:rPr>
        <w:t>2</w:t>
      </w:r>
      <w:r w:rsidRPr="00AE1075">
        <w:t xml:space="preserve"> </w:t>
      </w:r>
      <w:r w:rsidRPr="00AE1075">
        <w:rPr>
          <w:b/>
          <w:bCs/>
        </w:rPr>
        <w:t>(Rev.CMR-03)</w:t>
      </w:r>
      <w:r w:rsidRPr="00AE1075">
        <w:t xml:space="preserve"> relativa a la utilización por todos los países, con igualdad de derechos y acceso equitativo a las bandas de frecuencias atribuidas y a las órbitas de satélite asociadas para los servicios de radiocomunicación espacial</w:t>
      </w:r>
      <w:r w:rsidRPr="00AE1075">
        <w:rPr>
          <w:color w:val="000000"/>
        </w:rPr>
        <w:t>;</w:t>
      </w:r>
    </w:p>
    <w:p w:rsidR="00F340E1" w:rsidRPr="00AE1075" w:rsidRDefault="00F340E1" w:rsidP="00F340E1">
      <w:r w:rsidRPr="00AE1075">
        <w:rPr>
          <w:i/>
          <w:iCs/>
        </w:rPr>
        <w:t>b)</w:t>
      </w:r>
      <w:r w:rsidRPr="00AE1075">
        <w:tab/>
        <w:t>que el Artículo 44 de la Constitución de la UIT estipula que: «</w:t>
      </w:r>
      <w:r w:rsidRPr="00AE1075">
        <w:rPr>
          <w:i/>
          <w:iCs/>
        </w:rPr>
        <w:t>En la utilización de bandas de frecuencias para los servicios de radiocomunicaciones, los Estados Miembros tendrán en cuenta que las frecuencias y las órbitas asociadas, incluida la órbita de los satélites geoestacionarios, son recursos naturales limitados que deben utilizarse de forma racional, eficaz y económica, de conformidad con lo establecido en el Reglamento de Radiocomunicaciones, para permitir el acceso equitativo a esas órbitas y a esas frecuencias a los diferentes países o grupos de países, teniendo en cuenta las necesidades especiales de los países en desarrollo y la situación geográfica de determinados países</w:t>
      </w:r>
      <w:r w:rsidRPr="00AE1075">
        <w:t>»;</w:t>
      </w:r>
    </w:p>
    <w:p w:rsidR="00F340E1" w:rsidRPr="00AE1075" w:rsidRDefault="00F340E1" w:rsidP="00F340E1">
      <w:r w:rsidRPr="00AE1075">
        <w:rPr>
          <w:i/>
          <w:iCs/>
        </w:rPr>
        <w:t>c)</w:t>
      </w:r>
      <w:r w:rsidRPr="00AE1075">
        <w:tab/>
        <w:t xml:space="preserve">que los estudios del UIT-R revelan que gran parte de las redes de satélites suelen suprimirse tras la expiración del plazo de 7 años estipulado en el número </w:t>
      </w:r>
      <w:r w:rsidRPr="00AE1075">
        <w:rPr>
          <w:b/>
          <w:bCs/>
        </w:rPr>
        <w:t>11.44</w:t>
      </w:r>
      <w:r w:rsidRPr="00AE1075">
        <w:t>;</w:t>
      </w:r>
    </w:p>
    <w:p w:rsidR="00F340E1" w:rsidRPr="00AE1075" w:rsidRDefault="00F340E1" w:rsidP="00F340E1">
      <w:r w:rsidRPr="00AE1075">
        <w:rPr>
          <w:i/>
          <w:iCs/>
        </w:rPr>
        <w:t>d)</w:t>
      </w:r>
      <w:r w:rsidRPr="00AE1075">
        <w:tab/>
        <w:t>que la actual incertidumbre en la coordinación de redes de satélite puede requerir cierta flexibilidad, que podría ofrecerse mediante múltiples notificaciones de redes para abarcar las necesidades de coordinación;</w:t>
      </w:r>
    </w:p>
    <w:p w:rsidR="00F340E1" w:rsidRPr="00AE1075" w:rsidRDefault="00F340E1" w:rsidP="00F340E1">
      <w:r w:rsidRPr="00AE1075">
        <w:rPr>
          <w:i/>
          <w:iCs/>
        </w:rPr>
        <w:t>e)</w:t>
      </w:r>
      <w:r w:rsidRPr="00AE1075">
        <w:tab/>
        <w:t xml:space="preserve">que la notificación múltiple de redes podría desbordar las necesidades de coordinación de las redes presentadas ulteriormente e impedir así a estas redes </w:t>
      </w:r>
      <w:r w:rsidR="00A04A63" w:rsidRPr="00AE1075">
        <w:t>el acceso oportuno a la órbita;</w:t>
      </w:r>
    </w:p>
    <w:p w:rsidR="00F340E1" w:rsidRPr="00AE1075" w:rsidRDefault="00F340E1" w:rsidP="00F340E1">
      <w:r w:rsidRPr="00AE1075">
        <w:rPr>
          <w:i/>
          <w:iCs/>
        </w:rPr>
        <w:t>f)</w:t>
      </w:r>
      <w:r w:rsidRPr="00AE1075">
        <w:tab/>
        <w:t>que la consolidación de los procedimientos vigentes podría facilitar el acceso al espectro radioeléctrico y a los recursos orbitales, reduciría la incertidumbre y los riesgos que entraña la coordinación y daría flexibilidad para una futura expansión,</w:t>
      </w:r>
    </w:p>
    <w:p w:rsidR="00F340E1" w:rsidRPr="00AE1075" w:rsidRDefault="00F340E1" w:rsidP="00F340E1">
      <w:pPr>
        <w:pStyle w:val="Call"/>
      </w:pPr>
      <w:r w:rsidRPr="00AE1075">
        <w:t>reconociendo</w:t>
      </w:r>
    </w:p>
    <w:p w:rsidR="00F340E1" w:rsidRPr="00AE1075" w:rsidRDefault="00F340E1" w:rsidP="00F340E1">
      <w:r w:rsidRPr="00AE1075">
        <w:rPr>
          <w:i/>
          <w:iCs/>
        </w:rPr>
        <w:t>a)</w:t>
      </w:r>
      <w:r w:rsidRPr="00AE1075">
        <w:tab/>
        <w:t xml:space="preserve">que la Resolución </w:t>
      </w:r>
      <w:r w:rsidRPr="00AE1075">
        <w:rPr>
          <w:b/>
          <w:bCs/>
        </w:rPr>
        <w:t>807 (CMR</w:t>
      </w:r>
      <w:r w:rsidRPr="00AE1075">
        <w:rPr>
          <w:b/>
          <w:bCs/>
        </w:rPr>
        <w:noBreakHyphen/>
        <w:t>12)</w:t>
      </w:r>
      <w:r w:rsidRPr="00AE1075">
        <w:t xml:space="preserve"> resuelve que la Conferencia Mundial de Radiocomunicaciones de 2015 considere posibles modificaciones y otras opciones como consecuencia de la Resolución 86 (Rev. Marrakech, 2002) de la Conferencia de Plenipotenciarios: «Procedimientos de publicación anticipada, de coordinación, de notificación y de inscripción de asignaciones de frecuencias de redes de satélite», de conformidad con la Resolución </w:t>
      </w:r>
      <w:r w:rsidRPr="00AE1075">
        <w:rPr>
          <w:b/>
          <w:bCs/>
        </w:rPr>
        <w:t>86 (Rev.CMR</w:t>
      </w:r>
      <w:r w:rsidRPr="00AE1075">
        <w:rPr>
          <w:b/>
          <w:bCs/>
        </w:rPr>
        <w:noBreakHyphen/>
        <w:t>07)</w:t>
      </w:r>
      <w:r w:rsidRPr="00AE1075">
        <w:t>, para facilitar la utilización racional, eficaz y económica de las frecuencias radioeléctricas y toda órbita asociada, incluida la órbita de los satélites geoestacionarios;</w:t>
      </w:r>
    </w:p>
    <w:p w:rsidR="00F340E1" w:rsidRPr="00AE1075" w:rsidRDefault="00F340E1" w:rsidP="00F340E1">
      <w:r w:rsidRPr="00AE1075">
        <w:rPr>
          <w:i/>
          <w:iCs/>
        </w:rPr>
        <w:t>b)</w:t>
      </w:r>
      <w:r w:rsidRPr="00AE1075">
        <w:tab/>
        <w:t xml:space="preserve">que en la Resolución </w:t>
      </w:r>
      <w:r w:rsidRPr="00AE1075">
        <w:rPr>
          <w:b/>
          <w:bCs/>
        </w:rPr>
        <w:t xml:space="preserve">86 </w:t>
      </w:r>
      <w:r w:rsidRPr="00AE1075">
        <w:rPr>
          <w:b/>
          <w:bCs/>
          <w:lang w:eastAsia="ja-JP"/>
        </w:rPr>
        <w:t>(Rev.CMR</w:t>
      </w:r>
      <w:r w:rsidRPr="00AE1075">
        <w:rPr>
          <w:b/>
          <w:bCs/>
          <w:lang w:eastAsia="ja-JP"/>
        </w:rPr>
        <w:noBreakHyphen/>
        <w:t>07)</w:t>
      </w:r>
      <w:r w:rsidRPr="00AE1075">
        <w:rPr>
          <w:lang w:eastAsia="ja-JP"/>
        </w:rPr>
        <w:t xml:space="preserve"> </w:t>
      </w:r>
      <w:r w:rsidRPr="00AE1075">
        <w:t xml:space="preserve">se invita a las futuras Conferencias Mundiales de Radiocomunicaciones a examinar cualquier propuesta que analice las deficiencias y mejoras de </w:t>
      </w:r>
      <w:r w:rsidRPr="00AE1075">
        <w:lastRenderedPageBreak/>
        <w:t>los procedimientos de publicación anticipada, coordinación, notificación e inscripción del Reglamento de Radiocomunicaciones para las asignaciones de frecuencias a los servicios espaciales que o bien hayan sido identificados por la Junta e incluidos en las Reglas de Procedimiento, o bien hayan sido identificados por las administraciones o por la Oficina de Radiocomunicaciones, según proceda,</w:t>
      </w:r>
    </w:p>
    <w:p w:rsidR="00F340E1" w:rsidRPr="00AE1075" w:rsidRDefault="00F340E1" w:rsidP="00F340E1">
      <w:pPr>
        <w:pStyle w:val="Call"/>
      </w:pPr>
      <w:r w:rsidRPr="00AE1075">
        <w:t>resuelve</w:t>
      </w:r>
    </w:p>
    <w:p w:rsidR="00F340E1" w:rsidRPr="00AE1075" w:rsidRDefault="00F340E1" w:rsidP="00A04A63">
      <w:r w:rsidRPr="00AE1075">
        <w:t>1</w:t>
      </w:r>
      <w:r w:rsidRPr="00AE1075">
        <w:tab/>
        <w:t xml:space="preserve">que entre la fecha de recepción por la Oficina de la información pertinente completa conforme al número </w:t>
      </w:r>
      <w:r w:rsidRPr="00AE1075">
        <w:rPr>
          <w:b/>
          <w:bCs/>
        </w:rPr>
        <w:t>9.1</w:t>
      </w:r>
      <w:r w:rsidRPr="00AE1075">
        <w:t xml:space="preserve"> o al número </w:t>
      </w:r>
      <w:r w:rsidRPr="00AE1075">
        <w:rPr>
          <w:b/>
          <w:bCs/>
        </w:rPr>
        <w:t>9.2</w:t>
      </w:r>
      <w:r w:rsidRPr="00AE1075">
        <w:t>, según proceda, y la fecha notificada de puesta en servicio de toda asignación de frecuencias a una estación espacial de una red de satélites no deberán transcurrir más de siete años, si la administración responsable presenta la información de notificación inicial [tres] años antes de la expiración de este periodo;</w:t>
      </w:r>
    </w:p>
    <w:p w:rsidR="00F340E1" w:rsidRPr="00AE1075" w:rsidRDefault="00F340E1" w:rsidP="00F340E1">
      <w:r w:rsidRPr="00AE1075">
        <w:t>2</w:t>
      </w:r>
      <w:r w:rsidRPr="00AE1075">
        <w:tab/>
        <w:t xml:space="preserve">que si al expirar el periodo de cuatro años desde la fecha de recepción de la información completa pertinente indicada en el número </w:t>
      </w:r>
      <w:r w:rsidRPr="00AE1075">
        <w:rPr>
          <w:rStyle w:val="ApprefBold"/>
        </w:rPr>
        <w:t>9.1</w:t>
      </w:r>
      <w:r w:rsidRPr="00AE1075">
        <w:t xml:space="preserve"> ó </w:t>
      </w:r>
      <w:r w:rsidRPr="00AE1075">
        <w:rPr>
          <w:rStyle w:val="ApprefBold"/>
        </w:rPr>
        <w:t>9.2</w:t>
      </w:r>
      <w:r w:rsidRPr="00AE1075">
        <w:t xml:space="preserve">, según proceda, la administración responsable de efectuar la coordinación de la red de satélites, según se exige en el número </w:t>
      </w:r>
      <w:r w:rsidRPr="00AE1075">
        <w:rPr>
          <w:b/>
          <w:bCs/>
        </w:rPr>
        <w:t xml:space="preserve">9.6 </w:t>
      </w:r>
      <w:r w:rsidRPr="00AE1075">
        <w:t>ó</w:t>
      </w:r>
      <w:r w:rsidRPr="00AE1075">
        <w:rPr>
          <w:b/>
          <w:bCs/>
        </w:rPr>
        <w:t xml:space="preserve"> 9.30</w:t>
      </w:r>
      <w:r w:rsidRPr="00AE1075">
        <w:t>, según proceda, no ha puesto en servicio las asignaciones de frecuencias a las estaciones de la red, o no ha presentado la información de notificación inicial seis meses antes de la expiración de este periodo, y no ha suministrado la información de debida diligencia con arreglo a la R</w:t>
      </w:r>
      <w:r w:rsidR="0034617B" w:rsidRPr="00AE1075">
        <w:t>esolución </w:t>
      </w:r>
      <w:r w:rsidR="0034617B" w:rsidRPr="00AE1075">
        <w:rPr>
          <w:b/>
          <w:bCs/>
        </w:rPr>
        <w:t>49 </w:t>
      </w:r>
      <w:r w:rsidRPr="00AE1075">
        <w:rPr>
          <w:b/>
          <w:bCs/>
        </w:rPr>
        <w:t>(Rev.CMR</w:t>
      </w:r>
      <w:r w:rsidRPr="00AE1075">
        <w:rPr>
          <w:b/>
          <w:bCs/>
        </w:rPr>
        <w:noBreakHyphen/>
        <w:t>12)</w:t>
      </w:r>
      <w:r w:rsidRPr="00AE1075">
        <w:t xml:space="preserve"> seis meses antes de la expiración de este periodo, se anulará la información correspondiente publicada en virtud del número </w:t>
      </w:r>
      <w:r w:rsidRPr="00AE1075">
        <w:rPr>
          <w:rStyle w:val="ApprefBold"/>
        </w:rPr>
        <w:t>9.5B</w:t>
      </w:r>
      <w:r w:rsidRPr="00AE1075">
        <w:t>;</w:t>
      </w:r>
    </w:p>
    <w:p w:rsidR="00F340E1" w:rsidRPr="00AE1075" w:rsidRDefault="00F340E1" w:rsidP="00F340E1">
      <w:r w:rsidRPr="00AE1075">
        <w:t>3</w:t>
      </w:r>
      <w:r w:rsidRPr="00AE1075">
        <w:tab/>
        <w:t>que la información de notificación inicial se limite a lo siguiente:</w:t>
      </w:r>
    </w:p>
    <w:p w:rsidR="00F340E1" w:rsidRPr="00AE1075" w:rsidRDefault="00F340E1" w:rsidP="00F340E1">
      <w:pPr>
        <w:pStyle w:val="enumlev1"/>
      </w:pPr>
      <w:r w:rsidRPr="00AE1075">
        <w:t>3.1</w:t>
      </w:r>
      <w:r w:rsidRPr="00AE1075">
        <w:tab/>
        <w:t>modificaciones de la información sobre frecuencias presentada para la coordinación;</w:t>
      </w:r>
    </w:p>
    <w:p w:rsidR="00F340E1" w:rsidRPr="00AE1075" w:rsidRDefault="00F340E1" w:rsidP="00F340E1">
      <w:pPr>
        <w:pStyle w:val="enumlev1"/>
      </w:pPr>
      <w:r w:rsidRPr="00AE1075">
        <w:t>3.2</w:t>
      </w:r>
      <w:r w:rsidRPr="00AE1075">
        <w:tab/>
        <w:t>información sobre el estado de la coordinación;</w:t>
      </w:r>
    </w:p>
    <w:p w:rsidR="00F340E1" w:rsidRPr="00AE1075" w:rsidRDefault="00F340E1" w:rsidP="00F340E1">
      <w:r w:rsidRPr="00AE1075">
        <w:t>4</w:t>
      </w:r>
      <w:r w:rsidRPr="00AE1075">
        <w:tab/>
        <w:t>que una vez recibida la información de notificación inicial, la Oficina publicará dicha información en la sección especial PARTXS en el plazo de [2 meses] y en la BRIFIC a título informativo.</w:t>
      </w:r>
    </w:p>
    <w:p w:rsidR="00D65387" w:rsidRPr="00AE1075" w:rsidRDefault="00A66856" w:rsidP="00EF678C">
      <w:pPr>
        <w:pStyle w:val="Reasons"/>
      </w:pPr>
      <w:r w:rsidRPr="00AE1075">
        <w:rPr>
          <w:b/>
        </w:rPr>
        <w:t>Motivos:</w:t>
      </w:r>
      <w:r w:rsidRPr="00AE1075">
        <w:tab/>
      </w:r>
      <w:r w:rsidR="00F340E1" w:rsidRPr="00AE1075">
        <w:t xml:space="preserve">Este método ofrece a la administración notificante la opción de no presentar la información de notificación inicial y, por consiguiente, no se aplicarán tasas en concepto de recuperación de coste. Ofrece a la Oficina un mecanismo </w:t>
      </w:r>
      <w:r w:rsidR="00EF678C">
        <w:t>para</w:t>
      </w:r>
      <w:r w:rsidR="00EF678C" w:rsidRPr="00AE1075">
        <w:t xml:space="preserve"> </w:t>
      </w:r>
      <w:bookmarkStart w:id="6" w:name="_GoBack"/>
      <w:bookmarkEnd w:id="6"/>
      <w:r w:rsidR="00F340E1" w:rsidRPr="00AE1075">
        <w:t xml:space="preserve">suprimir </w:t>
      </w:r>
      <w:r w:rsidR="007529AE">
        <w:t xml:space="preserve">la </w:t>
      </w:r>
      <w:r w:rsidR="00F340E1" w:rsidRPr="00AE1075">
        <w:t>notificación dentro de un determinado periodo.</w:t>
      </w:r>
    </w:p>
    <w:p w:rsidR="00D65387" w:rsidRPr="00AE1075" w:rsidRDefault="00A66856">
      <w:pPr>
        <w:pStyle w:val="Proposal"/>
      </w:pPr>
      <w:r w:rsidRPr="00AE1075">
        <w:t>ADD</w:t>
      </w:r>
      <w:r w:rsidRPr="00AE1075">
        <w:tab/>
        <w:t>UGA/82A21A9/2</w:t>
      </w:r>
    </w:p>
    <w:p w:rsidR="00D65387" w:rsidRPr="00AE1075" w:rsidRDefault="00F340E1">
      <w:pPr>
        <w:pStyle w:val="ResNo"/>
      </w:pPr>
      <w:r w:rsidRPr="00AE1075">
        <w:t>PROYECTO DE NUEVA RESOLUCIÓN [UGA-AI7-I1.2] (CMR-15)</w:t>
      </w:r>
    </w:p>
    <w:p w:rsidR="00D65387" w:rsidRPr="00AE1075" w:rsidRDefault="00F340E1">
      <w:pPr>
        <w:pStyle w:val="Restitle"/>
      </w:pPr>
      <w:r w:rsidRPr="00AE1075">
        <w:t>Disposiciones reglamentarias relativas a la notificación inicial de asignaciones de frecuencias a una estación de radiocomunicaciones espaciales que están sujetas al procedimiento de coordinación con arreglo a la Sección II del Artículo 9</w:t>
      </w:r>
    </w:p>
    <w:p w:rsidR="00F340E1" w:rsidRPr="00AE1075" w:rsidRDefault="00F340E1" w:rsidP="00F340E1">
      <w:pPr>
        <w:pStyle w:val="Normalaftertitle"/>
      </w:pPr>
      <w:r w:rsidRPr="00AE1075">
        <w:t>La Conferencia Mundial de Radiocomunicaciones (Ginebra, 2015),</w:t>
      </w:r>
    </w:p>
    <w:p w:rsidR="00F340E1" w:rsidRPr="00AE1075" w:rsidRDefault="00F340E1" w:rsidP="00F340E1">
      <w:pPr>
        <w:pStyle w:val="Call"/>
      </w:pPr>
      <w:r w:rsidRPr="00AE1075">
        <w:t>considerando</w:t>
      </w:r>
    </w:p>
    <w:p w:rsidR="00F340E1" w:rsidRPr="00AE1075" w:rsidRDefault="00F340E1" w:rsidP="00F340E1">
      <w:r w:rsidRPr="00AE1075">
        <w:rPr>
          <w:i/>
        </w:rPr>
        <w:t>a)</w:t>
      </w:r>
      <w:r w:rsidRPr="00AE1075">
        <w:tab/>
        <w:t xml:space="preserve">que es necesario utilizar de forma racional y eficaz el espectro de frecuencias y la órbita de los satélites geoestacionarios y que deben tomarse en consideración las disposiciones de la Resolución </w:t>
      </w:r>
      <w:r w:rsidRPr="00AE1075">
        <w:rPr>
          <w:b/>
        </w:rPr>
        <w:t>2</w:t>
      </w:r>
      <w:r w:rsidRPr="00AE1075">
        <w:t xml:space="preserve"> </w:t>
      </w:r>
      <w:r w:rsidRPr="00AE1075">
        <w:rPr>
          <w:b/>
          <w:bCs/>
        </w:rPr>
        <w:t>(Rev.CMR</w:t>
      </w:r>
      <w:r w:rsidRPr="00AE1075">
        <w:rPr>
          <w:b/>
          <w:bCs/>
        </w:rPr>
        <w:noBreakHyphen/>
        <w:t>03)</w:t>
      </w:r>
      <w:r w:rsidRPr="00AE1075">
        <w:t xml:space="preserve"> relativa a la utilización por todos los países, con igualdad de derechos y acceso equitativo a las bandas de frecuencias atribuidas y a las correspondientes órbitas de satélite para los servicios de radiocomunicación espacial;</w:t>
      </w:r>
    </w:p>
    <w:p w:rsidR="00F340E1" w:rsidRPr="00AE1075" w:rsidRDefault="00F340E1" w:rsidP="00F340E1">
      <w:pPr>
        <w:rPr>
          <w:i/>
          <w:szCs w:val="24"/>
        </w:rPr>
      </w:pPr>
      <w:r w:rsidRPr="00AE1075">
        <w:rPr>
          <w:i/>
          <w:iCs/>
        </w:rPr>
        <w:lastRenderedPageBreak/>
        <w:t>b)</w:t>
      </w:r>
      <w:r w:rsidRPr="00AE1075">
        <w:tab/>
        <w:t>que el Artículo 44 de la Constitución de la UIT estipula que: «</w:t>
      </w:r>
      <w:r w:rsidRPr="00AE1075">
        <w:rPr>
          <w:i/>
          <w:iCs/>
        </w:rPr>
        <w:t>En la utilización de bandas de frecuencias para los servicios de radiocomunicaciones, los Estados Miembros tendrán en cuenta que las frecuencias y las órbitas asociadas, incluida la órbita de los satélites geoestacionarios, son recursos naturales limitados que deben utilizarse de forma racional, eficaz y económica, de conformidad con lo establecido en el Reglamento de Radiocomunicaciones, para permitir el acceso equitativo a esas órbitas y a esas frecuencias a los diferentes países o grupos de países, teniendo en cuenta las necesidades especiales de los países en desarrollo y la situación geográfica de determinados países</w:t>
      </w:r>
      <w:r w:rsidRPr="00AE1075">
        <w:t>»;</w:t>
      </w:r>
    </w:p>
    <w:p w:rsidR="00F340E1" w:rsidRPr="00AE1075" w:rsidRDefault="00F340E1" w:rsidP="00F340E1">
      <w:r w:rsidRPr="00AE1075">
        <w:rPr>
          <w:i/>
          <w:iCs/>
        </w:rPr>
        <w:t>c)</w:t>
      </w:r>
      <w:r w:rsidRPr="00AE1075">
        <w:tab/>
        <w:t xml:space="preserve">que los estudios del UIT-R revelan que gran parte de las redes de satélites suelen suprimirse tras la expiración del plazo de 7 años estipulado en el número </w:t>
      </w:r>
      <w:r w:rsidRPr="00AE1075">
        <w:rPr>
          <w:b/>
          <w:bCs/>
        </w:rPr>
        <w:t>11.44</w:t>
      </w:r>
      <w:r w:rsidRPr="00AE1075">
        <w:t>;</w:t>
      </w:r>
    </w:p>
    <w:p w:rsidR="00F340E1" w:rsidRPr="00AE1075" w:rsidRDefault="00F340E1" w:rsidP="00F340E1">
      <w:r w:rsidRPr="00AE1075">
        <w:rPr>
          <w:i/>
          <w:iCs/>
        </w:rPr>
        <w:t>d)</w:t>
      </w:r>
      <w:r w:rsidRPr="00AE1075">
        <w:tab/>
        <w:t>que la actual incertidumbre en la coordinación de redes de satélite puede requerir cierta flexibilidad, que debería asociarse mediante múltiples notificaciones de redes para abarcar las necesidades de coordinación;</w:t>
      </w:r>
    </w:p>
    <w:p w:rsidR="00F340E1" w:rsidRPr="00AE1075" w:rsidRDefault="00F340E1" w:rsidP="00F340E1">
      <w:r w:rsidRPr="00AE1075">
        <w:rPr>
          <w:i/>
          <w:iCs/>
        </w:rPr>
        <w:t>e)</w:t>
      </w:r>
      <w:r w:rsidRPr="00AE1075">
        <w:tab/>
        <w:t xml:space="preserve">que la notificación múltiple de redes podría desbordar las necesidades de coordinación de las redes presentadas ulteriormente e impedir así a estas redes el acceso oportuno a la órbita; </w:t>
      </w:r>
    </w:p>
    <w:p w:rsidR="00F340E1" w:rsidRPr="00AE1075" w:rsidRDefault="00F340E1" w:rsidP="00F340E1">
      <w:r w:rsidRPr="00AE1075">
        <w:rPr>
          <w:i/>
          <w:iCs/>
        </w:rPr>
        <w:t>f)</w:t>
      </w:r>
      <w:r w:rsidRPr="00AE1075">
        <w:tab/>
        <w:t>que la consolidación de los procedimientos vigentes podría facilitar el acceso al espectro radioeléctrico y a los recursos orbitales, reduciría la incertidumbre y los riesgos que entraña la coordinación y daría flexibilidad para una futura expansión,</w:t>
      </w:r>
    </w:p>
    <w:p w:rsidR="00F340E1" w:rsidRPr="00AE1075" w:rsidRDefault="00F340E1" w:rsidP="00F340E1">
      <w:pPr>
        <w:pStyle w:val="Call"/>
      </w:pPr>
      <w:r w:rsidRPr="00AE1075">
        <w:t>reconociendo</w:t>
      </w:r>
    </w:p>
    <w:p w:rsidR="00F340E1" w:rsidRPr="00AE1075" w:rsidRDefault="00F340E1" w:rsidP="00F340E1">
      <w:r w:rsidRPr="00AE1075">
        <w:rPr>
          <w:i/>
          <w:iCs/>
        </w:rPr>
        <w:t>a)</w:t>
      </w:r>
      <w:r w:rsidRPr="00AE1075">
        <w:tab/>
        <w:t xml:space="preserve">que la Resolución </w:t>
      </w:r>
      <w:r w:rsidRPr="00AE1075">
        <w:rPr>
          <w:b/>
          <w:bCs/>
        </w:rPr>
        <w:t>807 (CMR</w:t>
      </w:r>
      <w:r w:rsidRPr="00AE1075">
        <w:rPr>
          <w:b/>
          <w:bCs/>
        </w:rPr>
        <w:noBreakHyphen/>
        <w:t>12)</w:t>
      </w:r>
      <w:r w:rsidRPr="00AE1075">
        <w:t xml:space="preserve"> resuelve que la Conferencia Mundial de Radiocomunicaciones de 2015 considere posibles modificaciones y otras opciones como consecuencia de la Resolución 86 (Rev. Marrakech, 2002) de la Conferencia de Plenipotenciarios: «Procedimientos de publicación anticipada, de coordinación, de notificación y de inscripción de asignaciones de frecuencias de redes de satélite», d</w:t>
      </w:r>
      <w:r w:rsidR="0034617B" w:rsidRPr="00AE1075">
        <w:t>e conformidad con la Resolución </w:t>
      </w:r>
      <w:r w:rsidR="0034617B" w:rsidRPr="00AE1075">
        <w:rPr>
          <w:b/>
          <w:bCs/>
        </w:rPr>
        <w:t>86 </w:t>
      </w:r>
      <w:r w:rsidRPr="00AE1075">
        <w:rPr>
          <w:b/>
          <w:bCs/>
        </w:rPr>
        <w:t>(Rev.CMR</w:t>
      </w:r>
      <w:r w:rsidRPr="00AE1075">
        <w:rPr>
          <w:b/>
          <w:bCs/>
        </w:rPr>
        <w:noBreakHyphen/>
        <w:t>07)</w:t>
      </w:r>
      <w:r w:rsidRPr="00AE1075">
        <w:t>, para facilitar la utilización racional, eficaz y económica de las frecuencias radioeléctricas y toda órbita asociada, incluida la órbita de los satélites geoestacionarios;</w:t>
      </w:r>
    </w:p>
    <w:p w:rsidR="00F340E1" w:rsidRPr="00AE1075" w:rsidRDefault="00F340E1" w:rsidP="00F340E1">
      <w:r w:rsidRPr="00AE1075">
        <w:rPr>
          <w:i/>
          <w:iCs/>
        </w:rPr>
        <w:t>b)</w:t>
      </w:r>
      <w:r w:rsidRPr="00AE1075">
        <w:tab/>
        <w:t xml:space="preserve">que en la Resolución </w:t>
      </w:r>
      <w:r w:rsidRPr="00AE1075">
        <w:rPr>
          <w:b/>
          <w:bCs/>
        </w:rPr>
        <w:t xml:space="preserve">86 </w:t>
      </w:r>
      <w:r w:rsidRPr="00AE1075">
        <w:rPr>
          <w:b/>
          <w:bCs/>
          <w:lang w:eastAsia="ja-JP"/>
        </w:rPr>
        <w:t>(Rev.CMR</w:t>
      </w:r>
      <w:r w:rsidRPr="00AE1075">
        <w:rPr>
          <w:b/>
          <w:bCs/>
          <w:lang w:eastAsia="ja-JP"/>
        </w:rPr>
        <w:noBreakHyphen/>
        <w:t>07)</w:t>
      </w:r>
      <w:r w:rsidRPr="00AE1075">
        <w:rPr>
          <w:lang w:eastAsia="ja-JP"/>
        </w:rPr>
        <w:t xml:space="preserve"> </w:t>
      </w:r>
      <w:r w:rsidRPr="00AE1075">
        <w:t>se invita a las futuras Conferencias Mundiales de Radiocomunicaciones a examinar cualquier propuesta que analice las deficiencias y mejoras de los procedimientos de publicación anticipada, coordinación, notificación e inscripción del Reglamento de Radiocomunicaciones para las asignaciones de frecuencias a los servicios espaciales que o bien hayan sido identificados por la Junta e incluidos en las Reglas de Procedimiento, o bien hayan sido identificados por las administraciones o por la Oficina de Radiocomunicaciones, según proceda,</w:t>
      </w:r>
    </w:p>
    <w:p w:rsidR="00F340E1" w:rsidRPr="00AE1075" w:rsidRDefault="00F340E1" w:rsidP="00F340E1">
      <w:pPr>
        <w:pStyle w:val="Call"/>
      </w:pPr>
      <w:r w:rsidRPr="00AE1075">
        <w:rPr>
          <w:color w:val="000000"/>
        </w:rPr>
        <w:t>resuelve</w:t>
      </w:r>
    </w:p>
    <w:p w:rsidR="00F340E1" w:rsidRPr="00AE1075" w:rsidRDefault="00F340E1" w:rsidP="00F340E1">
      <w:pPr>
        <w:rPr>
          <w:color w:val="000000"/>
        </w:rPr>
      </w:pPr>
      <w:r w:rsidRPr="00AE1075">
        <w:rPr>
          <w:color w:val="000000"/>
        </w:rPr>
        <w:t>1</w:t>
      </w:r>
      <w:r w:rsidRPr="00AE1075">
        <w:rPr>
          <w:color w:val="000000"/>
        </w:rPr>
        <w:tab/>
        <w:t xml:space="preserve">que entre la fecha de recepción por la Oficina de la información pertinente completa conforme al número </w:t>
      </w:r>
      <w:r w:rsidRPr="00AE1075">
        <w:rPr>
          <w:b/>
          <w:bCs/>
          <w:color w:val="000000"/>
        </w:rPr>
        <w:t>9.1</w:t>
      </w:r>
      <w:r w:rsidRPr="00AE1075">
        <w:rPr>
          <w:color w:val="000000"/>
        </w:rPr>
        <w:t xml:space="preserve"> o al número </w:t>
      </w:r>
      <w:r w:rsidRPr="00AE1075">
        <w:rPr>
          <w:b/>
          <w:bCs/>
          <w:color w:val="000000"/>
        </w:rPr>
        <w:t>9.2</w:t>
      </w:r>
      <w:r w:rsidRPr="00AE1075">
        <w:rPr>
          <w:color w:val="000000"/>
        </w:rPr>
        <w:t>, según proceda, y la fecha notificada de puesta en servicio de toda asignación de frecuencias a una estación espacial de una red de satélites no deberán transcurrir más de siete años, si la administración responsable presenta la información de notificación inicial [tres] años antes de la expiración de este periodo;</w:t>
      </w:r>
    </w:p>
    <w:p w:rsidR="00F340E1" w:rsidRPr="00AE1075" w:rsidRDefault="00F340E1" w:rsidP="00F340E1">
      <w:r w:rsidRPr="00AE1075">
        <w:t>2</w:t>
      </w:r>
      <w:r w:rsidRPr="00AE1075">
        <w:tab/>
        <w:t xml:space="preserve">que si al expirar del periodo de cuatro años desde la fecha de recepción de la información completa pertinente indicada en el número </w:t>
      </w:r>
      <w:r w:rsidRPr="00AE1075">
        <w:rPr>
          <w:rStyle w:val="ApprefBold"/>
        </w:rPr>
        <w:t>9.1</w:t>
      </w:r>
      <w:r w:rsidRPr="00AE1075">
        <w:t xml:space="preserve"> ó </w:t>
      </w:r>
      <w:r w:rsidRPr="00AE1075">
        <w:rPr>
          <w:rStyle w:val="ApprefBold"/>
        </w:rPr>
        <w:t>9.2</w:t>
      </w:r>
      <w:r w:rsidRPr="00AE1075">
        <w:t xml:space="preserve">, según proceda, la administración responsable de efectuar la coordinación de la red de satélites, según se exige en el número </w:t>
      </w:r>
      <w:r w:rsidRPr="00AE1075">
        <w:rPr>
          <w:b/>
          <w:bCs/>
        </w:rPr>
        <w:t xml:space="preserve">9.6 </w:t>
      </w:r>
      <w:r w:rsidRPr="00AE1075">
        <w:t>ó</w:t>
      </w:r>
      <w:r w:rsidRPr="00AE1075">
        <w:rPr>
          <w:b/>
          <w:bCs/>
        </w:rPr>
        <w:t xml:space="preserve"> 9.30</w:t>
      </w:r>
      <w:r w:rsidRPr="00AE1075">
        <w:t xml:space="preserve">, según proceda, no ha puesto en servicio las asignaciones de frecuencias a las estaciones de la red, o no ha presentado la información de notificación inicial seis meses antes de la expiración de este periodo, y no ha suministrado la información de debida diligencia con arreglo a la </w:t>
      </w:r>
      <w:r w:rsidRPr="00AE1075">
        <w:lastRenderedPageBreak/>
        <w:t>Resolución </w:t>
      </w:r>
      <w:r w:rsidRPr="00AE1075">
        <w:rPr>
          <w:b/>
          <w:bCs/>
        </w:rPr>
        <w:t>49 (Rev.CMR</w:t>
      </w:r>
      <w:r w:rsidRPr="00AE1075">
        <w:rPr>
          <w:b/>
          <w:bCs/>
        </w:rPr>
        <w:noBreakHyphen/>
        <w:t>12)</w:t>
      </w:r>
      <w:r w:rsidRPr="00AE1075">
        <w:t xml:space="preserve"> seis meses antes de la expiración de este periodo, se anulará la información correspondiente publicada en virtud del número </w:t>
      </w:r>
      <w:r w:rsidRPr="00AE1075">
        <w:rPr>
          <w:rStyle w:val="ApprefBold"/>
        </w:rPr>
        <w:t>9.5B</w:t>
      </w:r>
      <w:r w:rsidRPr="00AE1075">
        <w:t>;</w:t>
      </w:r>
    </w:p>
    <w:p w:rsidR="00F340E1" w:rsidRPr="00AE1075" w:rsidRDefault="00F340E1" w:rsidP="00F340E1">
      <w:r w:rsidRPr="00AE1075">
        <w:t>3</w:t>
      </w:r>
      <w:r w:rsidRPr="00AE1075">
        <w:tab/>
        <w:t>la información de notificación inicial debe limitarse a lo siguiente:</w:t>
      </w:r>
    </w:p>
    <w:p w:rsidR="00F340E1" w:rsidRPr="00AE1075" w:rsidRDefault="00F340E1" w:rsidP="00F340E1">
      <w:pPr>
        <w:pStyle w:val="enumlev1"/>
      </w:pPr>
      <w:r w:rsidRPr="00AE1075">
        <w:t>3.1</w:t>
      </w:r>
      <w:r w:rsidRPr="00AE1075">
        <w:tab/>
        <w:t>modificaciones de la información sobre frecuencias;</w:t>
      </w:r>
    </w:p>
    <w:p w:rsidR="00F340E1" w:rsidRPr="00AE1075" w:rsidRDefault="00F340E1" w:rsidP="00F340E1">
      <w:pPr>
        <w:pStyle w:val="enumlev1"/>
      </w:pPr>
      <w:r w:rsidRPr="00AE1075">
        <w:t>3.2</w:t>
      </w:r>
      <w:r w:rsidRPr="00AE1075">
        <w:tab/>
        <w:t>modificación de la posición orbital en ± 1 grado;</w:t>
      </w:r>
    </w:p>
    <w:p w:rsidR="00F340E1" w:rsidRPr="00AE1075" w:rsidRDefault="00F340E1" w:rsidP="00F340E1">
      <w:pPr>
        <w:pStyle w:val="enumlev1"/>
      </w:pPr>
      <w:r w:rsidRPr="00AE1075">
        <w:t>3.3</w:t>
      </w:r>
      <w:r w:rsidRPr="00AE1075">
        <w:tab/>
        <w:t>modificaciones de la zona de servicio;</w:t>
      </w:r>
    </w:p>
    <w:p w:rsidR="00F340E1" w:rsidRPr="00AE1075" w:rsidRDefault="00F340E1" w:rsidP="00F340E1">
      <w:pPr>
        <w:pStyle w:val="enumlev1"/>
      </w:pPr>
      <w:r w:rsidRPr="00AE1075">
        <w:t>3.4</w:t>
      </w:r>
      <w:r w:rsidRPr="00AE1075">
        <w:tab/>
        <w:t>información relativa al estado de la coordinación;</w:t>
      </w:r>
    </w:p>
    <w:p w:rsidR="00F340E1" w:rsidRPr="00AE1075" w:rsidRDefault="00F340E1" w:rsidP="00F340E1">
      <w:pPr>
        <w:pStyle w:val="enumlev1"/>
      </w:pPr>
      <w:r w:rsidRPr="00AE1075">
        <w:t>3.5</w:t>
      </w:r>
      <w:r w:rsidRPr="00AE1075">
        <w:tab/>
        <w:t>modificaciones de la información técnica sobre los haces;</w:t>
      </w:r>
    </w:p>
    <w:p w:rsidR="00F340E1" w:rsidRPr="00AE1075" w:rsidRDefault="00F340E1" w:rsidP="00F340E1">
      <w:r w:rsidRPr="00AE1075">
        <w:t>4</w:t>
      </w:r>
      <w:r w:rsidRPr="00AE1075">
        <w:tab/>
        <w:t>que una vez recibida la información de notificación inicial, la Oficina publique dicha información en la sección especial PARTXS en el plazo de [4 meses] y en la BRIFIC en un plazo de cuatro meses desde que reciba la información completa con el fin de que los Estados Miembros afectados formulen las observaciones que estimen oportunas.</w:t>
      </w:r>
    </w:p>
    <w:p w:rsidR="00F340E1" w:rsidRPr="00AE1075" w:rsidRDefault="00F340E1" w:rsidP="00F340E1">
      <w:pPr>
        <w:pStyle w:val="Note"/>
        <w:rPr>
          <w:lang w:eastAsia="ja-JP"/>
        </w:rPr>
      </w:pPr>
      <w:r w:rsidRPr="00AE1075">
        <w:rPr>
          <w:bCs/>
        </w:rPr>
        <w:t xml:space="preserve">NOTA – Si la </w:t>
      </w:r>
      <w:r w:rsidRPr="00AE1075">
        <w:rPr>
          <w:lang w:eastAsia="ja-JP"/>
        </w:rPr>
        <w:t>CMR</w:t>
      </w:r>
      <w:r w:rsidRPr="00AE1075">
        <w:rPr>
          <w:lang w:eastAsia="ja-JP"/>
        </w:rPr>
        <w:noBreakHyphen/>
        <w:t>15 adoptara esta Resolución, podría desear considerar la conveniencia de invitar al Consejo a revisar la Decisión 482.</w:t>
      </w:r>
    </w:p>
    <w:p w:rsidR="00D65387" w:rsidRPr="00AE1075" w:rsidRDefault="00A66856" w:rsidP="009F15AE">
      <w:pPr>
        <w:pStyle w:val="Reasons"/>
      </w:pPr>
      <w:r w:rsidRPr="00AE1075">
        <w:rPr>
          <w:b/>
        </w:rPr>
        <w:t>Motivos:</w:t>
      </w:r>
      <w:r w:rsidRPr="00AE1075">
        <w:tab/>
      </w:r>
      <w:r w:rsidR="00F340E1" w:rsidRPr="00AE1075">
        <w:t xml:space="preserve">Este método prevé que la administración notificante presente la información de notificación inicial que examinará y tramitará la Oficina. Se aplicarán tasas en concepto de recuperación de costes. Ofrece a la Oficina un mecanismo </w:t>
      </w:r>
      <w:r w:rsidR="009F15AE">
        <w:t>para</w:t>
      </w:r>
      <w:r w:rsidR="00F340E1" w:rsidRPr="00AE1075">
        <w:t xml:space="preserve"> suprimir </w:t>
      </w:r>
      <w:r w:rsidR="00117F19">
        <w:t xml:space="preserve">la </w:t>
      </w:r>
      <w:r w:rsidR="00F340E1" w:rsidRPr="00AE1075">
        <w:t>notificación dentro de un determinado periodo.</w:t>
      </w:r>
    </w:p>
    <w:p w:rsidR="0034617B" w:rsidRPr="00AE1075" w:rsidRDefault="0034617B" w:rsidP="0032202E">
      <w:pPr>
        <w:pStyle w:val="Reasons"/>
      </w:pPr>
    </w:p>
    <w:p w:rsidR="0034617B" w:rsidRPr="00AE1075" w:rsidRDefault="0034617B">
      <w:pPr>
        <w:jc w:val="center"/>
      </w:pPr>
      <w:r w:rsidRPr="00AE1075">
        <w:t>______________</w:t>
      </w:r>
    </w:p>
    <w:sectPr w:rsidR="0034617B" w:rsidRPr="00AE1075">
      <w:headerReference w:type="default" r:id="rId13"/>
      <w:footerReference w:type="even" r:id="rId14"/>
      <w:footerReference w:type="default" r:id="rId15"/>
      <w:footerReference w:type="first" r:id="rId16"/>
      <w:pgSz w:w="11907" w:h="16840" w:code="9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33B5" w:rsidRDefault="005133B5">
      <w:r>
        <w:separator/>
      </w:r>
    </w:p>
  </w:endnote>
  <w:endnote w:type="continuationSeparator" w:id="0">
    <w:p w:rsidR="005133B5" w:rsidRDefault="00513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84A" w:rsidRDefault="0077084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7084A" w:rsidRPr="007529AE" w:rsidRDefault="0077084A">
    <w:pPr>
      <w:ind w:right="360"/>
    </w:pPr>
    <w:r>
      <w:fldChar w:fldCharType="begin"/>
    </w:r>
    <w:r w:rsidRPr="007529AE">
      <w:instrText xml:space="preserve"> FILENAME \p  \* MERGEFORMAT </w:instrText>
    </w:r>
    <w:r>
      <w:fldChar w:fldCharType="separate"/>
    </w:r>
    <w:r w:rsidR="007529AE">
      <w:rPr>
        <w:noProof/>
      </w:rPr>
      <w:t>P:\ESP\ITU-R\CONF-R\CMR15\000\082ADD21ADD09S.docx</w:t>
    </w:r>
    <w:r>
      <w:fldChar w:fldCharType="end"/>
    </w:r>
    <w:r w:rsidRPr="007529AE">
      <w:tab/>
    </w:r>
    <w:r>
      <w:fldChar w:fldCharType="begin"/>
    </w:r>
    <w:r>
      <w:instrText xml:space="preserve"> SAVEDATE \@ DD.MM.YY </w:instrText>
    </w:r>
    <w:r>
      <w:fldChar w:fldCharType="separate"/>
    </w:r>
    <w:r w:rsidR="007529AE">
      <w:rPr>
        <w:noProof/>
      </w:rPr>
      <w:t>25.10.15</w:t>
    </w:r>
    <w:r>
      <w:fldChar w:fldCharType="end"/>
    </w:r>
    <w:r w:rsidRPr="007529AE">
      <w:tab/>
    </w:r>
    <w:r>
      <w:fldChar w:fldCharType="begin"/>
    </w:r>
    <w:r>
      <w:instrText xml:space="preserve"> PRINTDATE \@ DD.MM.YY </w:instrText>
    </w:r>
    <w:r>
      <w:fldChar w:fldCharType="separate"/>
    </w:r>
    <w:r w:rsidR="007529AE">
      <w:rPr>
        <w:noProof/>
      </w:rPr>
      <w:t>25.10.15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84A" w:rsidRPr="009C1F90" w:rsidRDefault="009C1F90" w:rsidP="009C1F90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7529AE">
      <w:rPr>
        <w:lang w:val="en-US"/>
      </w:rPr>
      <w:t>P:\ESP\ITU-R\CONF-R\CMR15\000\082ADD21ADD09S.docx</w:t>
    </w:r>
    <w:r>
      <w:fldChar w:fldCharType="end"/>
    </w:r>
    <w:r>
      <w:t xml:space="preserve"> (388573)</w:t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7529AE">
      <w:t>25.10.15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7529AE">
      <w:t>25.10.15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84A" w:rsidRDefault="0077084A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7529AE">
      <w:rPr>
        <w:lang w:val="en-US"/>
      </w:rPr>
      <w:t>P:\ESP\ITU-R\CONF-R\CMR15\000\082ADD21ADD09S.docx</w:t>
    </w:r>
    <w:r>
      <w:fldChar w:fldCharType="end"/>
    </w:r>
    <w:r w:rsidR="009C1F90">
      <w:t xml:space="preserve"> (388573)</w:t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7529AE">
      <w:t>25.10.15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7529AE">
      <w:t>25.10.15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33B5" w:rsidRDefault="005133B5">
      <w:r>
        <w:rPr>
          <w:b/>
        </w:rPr>
        <w:t>_______________</w:t>
      </w:r>
    </w:p>
  </w:footnote>
  <w:footnote w:type="continuationSeparator" w:id="0">
    <w:p w:rsidR="005133B5" w:rsidRDefault="005133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84A" w:rsidRDefault="0077084A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EF678C">
      <w:rPr>
        <w:rStyle w:val="PageNumber"/>
        <w:noProof/>
      </w:rPr>
      <w:t>5</w:t>
    </w:r>
    <w:r>
      <w:rPr>
        <w:rStyle w:val="PageNumber"/>
      </w:rPr>
      <w:fldChar w:fldCharType="end"/>
    </w:r>
  </w:p>
  <w:p w:rsidR="0077084A" w:rsidRDefault="008750A8" w:rsidP="00E54754">
    <w:pPr>
      <w:pStyle w:val="Header"/>
      <w:rPr>
        <w:lang w:val="en-US"/>
      </w:rPr>
    </w:pPr>
    <w:r>
      <w:rPr>
        <w:lang w:val="en-US"/>
      </w:rPr>
      <w:t>CMR1</w:t>
    </w:r>
    <w:r w:rsidR="00E54754">
      <w:rPr>
        <w:lang w:val="en-US"/>
      </w:rPr>
      <w:t>5</w:t>
    </w:r>
    <w:r>
      <w:rPr>
        <w:lang w:val="en-US"/>
      </w:rPr>
      <w:t>/</w:t>
    </w:r>
    <w:r w:rsidR="00702F3D">
      <w:t>82(Add.21)(Add.9)-</w:t>
    </w:r>
    <w:r w:rsidR="003248A9" w:rsidRPr="003248A9">
      <w:t>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0E66C6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C70E9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31EE9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6A9A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9E4AF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66290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42400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F7E80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D2CD5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7F4F0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intFractionalCharacterWidth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21B"/>
    <w:rsid w:val="0002785D"/>
    <w:rsid w:val="00087AE8"/>
    <w:rsid w:val="000A3D48"/>
    <w:rsid w:val="000A5B9A"/>
    <w:rsid w:val="000E5BF9"/>
    <w:rsid w:val="000F0E6D"/>
    <w:rsid w:val="00117F19"/>
    <w:rsid w:val="00121170"/>
    <w:rsid w:val="00123CC5"/>
    <w:rsid w:val="0015142D"/>
    <w:rsid w:val="001616DC"/>
    <w:rsid w:val="00163962"/>
    <w:rsid w:val="00191A97"/>
    <w:rsid w:val="0019789D"/>
    <w:rsid w:val="001A083F"/>
    <w:rsid w:val="001C41FA"/>
    <w:rsid w:val="001E2B52"/>
    <w:rsid w:val="001E3F27"/>
    <w:rsid w:val="00236D2A"/>
    <w:rsid w:val="00255F12"/>
    <w:rsid w:val="00262C09"/>
    <w:rsid w:val="002A791F"/>
    <w:rsid w:val="002C1B26"/>
    <w:rsid w:val="002C5D6C"/>
    <w:rsid w:val="002E701F"/>
    <w:rsid w:val="003248A9"/>
    <w:rsid w:val="00324FFA"/>
    <w:rsid w:val="0032680B"/>
    <w:rsid w:val="0034617B"/>
    <w:rsid w:val="00363A65"/>
    <w:rsid w:val="003B1E8C"/>
    <w:rsid w:val="003C2508"/>
    <w:rsid w:val="003D0AA3"/>
    <w:rsid w:val="004010DE"/>
    <w:rsid w:val="00440B3A"/>
    <w:rsid w:val="0045384C"/>
    <w:rsid w:val="00454553"/>
    <w:rsid w:val="004B124A"/>
    <w:rsid w:val="005133B5"/>
    <w:rsid w:val="00532097"/>
    <w:rsid w:val="0056722B"/>
    <w:rsid w:val="0058350F"/>
    <w:rsid w:val="00583C7E"/>
    <w:rsid w:val="005D1615"/>
    <w:rsid w:val="005D46FB"/>
    <w:rsid w:val="005F2605"/>
    <w:rsid w:val="005F3B0E"/>
    <w:rsid w:val="005F559C"/>
    <w:rsid w:val="00662BA0"/>
    <w:rsid w:val="00692AAE"/>
    <w:rsid w:val="006C0654"/>
    <w:rsid w:val="006D6E67"/>
    <w:rsid w:val="006E1A13"/>
    <w:rsid w:val="00701C20"/>
    <w:rsid w:val="00702F3D"/>
    <w:rsid w:val="0070518E"/>
    <w:rsid w:val="007354E9"/>
    <w:rsid w:val="007529AE"/>
    <w:rsid w:val="00753194"/>
    <w:rsid w:val="00765578"/>
    <w:rsid w:val="0077084A"/>
    <w:rsid w:val="007952C7"/>
    <w:rsid w:val="007C0B95"/>
    <w:rsid w:val="007C2317"/>
    <w:rsid w:val="007D330A"/>
    <w:rsid w:val="00802A76"/>
    <w:rsid w:val="00807C86"/>
    <w:rsid w:val="0081456C"/>
    <w:rsid w:val="00866AE6"/>
    <w:rsid w:val="008750A8"/>
    <w:rsid w:val="008D4E89"/>
    <w:rsid w:val="008E5AF2"/>
    <w:rsid w:val="0090121B"/>
    <w:rsid w:val="009144C9"/>
    <w:rsid w:val="0094091F"/>
    <w:rsid w:val="00973754"/>
    <w:rsid w:val="009C0BED"/>
    <w:rsid w:val="009C1F90"/>
    <w:rsid w:val="009E11EC"/>
    <w:rsid w:val="009F15AE"/>
    <w:rsid w:val="00A04A63"/>
    <w:rsid w:val="00A118DB"/>
    <w:rsid w:val="00A4450C"/>
    <w:rsid w:val="00A66856"/>
    <w:rsid w:val="00AA5E6C"/>
    <w:rsid w:val="00AE1075"/>
    <w:rsid w:val="00AE5677"/>
    <w:rsid w:val="00AE658F"/>
    <w:rsid w:val="00AF2F78"/>
    <w:rsid w:val="00B239FA"/>
    <w:rsid w:val="00B52D55"/>
    <w:rsid w:val="00B8288C"/>
    <w:rsid w:val="00BE2E80"/>
    <w:rsid w:val="00BE5EDD"/>
    <w:rsid w:val="00BE6A1F"/>
    <w:rsid w:val="00C126C4"/>
    <w:rsid w:val="00C6236D"/>
    <w:rsid w:val="00C63EB5"/>
    <w:rsid w:val="00CC01E0"/>
    <w:rsid w:val="00CD5FEE"/>
    <w:rsid w:val="00CE60D2"/>
    <w:rsid w:val="00CE7431"/>
    <w:rsid w:val="00D0288A"/>
    <w:rsid w:val="00D65387"/>
    <w:rsid w:val="00D72A5D"/>
    <w:rsid w:val="00D95417"/>
    <w:rsid w:val="00DC629B"/>
    <w:rsid w:val="00DF668F"/>
    <w:rsid w:val="00E05BFF"/>
    <w:rsid w:val="00E262F1"/>
    <w:rsid w:val="00E3176A"/>
    <w:rsid w:val="00E54754"/>
    <w:rsid w:val="00E56BD3"/>
    <w:rsid w:val="00E71D14"/>
    <w:rsid w:val="00EF678C"/>
    <w:rsid w:val="00F340E1"/>
    <w:rsid w:val="00F66597"/>
    <w:rsid w:val="00F675D0"/>
    <w:rsid w:val="00F8150C"/>
    <w:rsid w:val="00FA3C7E"/>
    <w:rsid w:val="00FD237A"/>
    <w:rsid w:val="00FE4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5:docId w15:val="{2481C205-D550-4875-AE48-C1995D125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3F2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link w:val="CallChar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link w:val="enumlev1Char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2E701F"/>
    <w:pPr>
      <w:spacing w:after="480"/>
    </w:p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link w:val="NormalaftertitleChar"/>
    <w:pPr>
      <w:spacing w:before="280"/>
    </w:pPr>
  </w:style>
  <w:style w:type="paragraph" w:customStyle="1" w:styleId="Note">
    <w:name w:val="Note"/>
    <w:basedOn w:val="Normal"/>
    <w:link w:val="NoteChar"/>
    <w:pPr>
      <w:tabs>
        <w:tab w:val="left" w:pos="284"/>
      </w:tabs>
      <w:spacing w:before="80"/>
    </w:pPr>
  </w:style>
  <w:style w:type="paragraph" w:customStyle="1" w:styleId="PartNo">
    <w:name w:val="Part_No"/>
    <w:basedOn w:val="AnnexNo"/>
    <w:next w:val="Normal"/>
  </w:style>
  <w:style w:type="paragraph" w:customStyle="1" w:styleId="Parttitle">
    <w:name w:val="Part_title"/>
    <w:basedOn w:val="Annextitle"/>
    <w:next w:val="Normalaftertitle"/>
  </w:style>
  <w:style w:type="paragraph" w:customStyle="1" w:styleId="RecNo">
    <w:name w:val="Rec_No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cNo"/>
    <w:next w:val="Questiontitle"/>
  </w:style>
  <w:style w:type="paragraph" w:customStyle="1" w:styleId="Questiontitle">
    <w:name w:val="Question_title"/>
    <w:basedOn w:val="Rectitle"/>
    <w:next w:val="Normal"/>
  </w:style>
  <w:style w:type="paragraph" w:customStyle="1" w:styleId="Reftext">
    <w:name w:val="Ref_text"/>
    <w:basedOn w:val="Normal"/>
    <w:pPr>
      <w:ind w:left="1134" w:hanging="113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ref">
    <w:name w:val="Rep_ref"/>
    <w:basedOn w:val="Recref"/>
    <w:next w:val="Repdate"/>
  </w:style>
  <w:style w:type="paragraph" w:customStyle="1" w:styleId="Reptitle">
    <w:name w:val="Rep_title"/>
    <w:basedOn w:val="Rectitle"/>
    <w:next w:val="Repref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RecNo"/>
    <w:next w:val="Normal"/>
  </w:style>
  <w:style w:type="paragraph" w:customStyle="1" w:styleId="Resref">
    <w:name w:val="Res_ref"/>
    <w:basedOn w:val="Recref"/>
    <w:next w:val="Resdate"/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character" w:customStyle="1" w:styleId="Recdef">
    <w:name w:val="Rec_def"/>
    <w:basedOn w:val="DefaultParagraphFont"/>
    <w:rPr>
      <w:b/>
    </w:rPr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styleId="PageNumber">
    <w:name w:val="page number"/>
    <w:basedOn w:val="DefaultParagraphFont"/>
  </w:style>
  <w:style w:type="paragraph" w:customStyle="1" w:styleId="Reasons">
    <w:name w:val="Reasons"/>
    <w:basedOn w:val="Normal"/>
    <w:qFormat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Border">
    <w:name w:val="Border"/>
    <w:basedOn w:val="Normal"/>
    <w:rsid w:val="002E701F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customStyle="1" w:styleId="Proposal">
    <w:name w:val="Proposal"/>
    <w:basedOn w:val="Normal"/>
    <w:next w:val="Normal"/>
    <w:rsid w:val="005F3B0E"/>
    <w:pPr>
      <w:keepNext/>
      <w:spacing w:before="240"/>
    </w:pPr>
    <w:rPr>
      <w:rFonts w:hAnsi="Times New Roman Bold"/>
      <w:b/>
    </w:rPr>
  </w:style>
  <w:style w:type="paragraph" w:styleId="CommentText">
    <w:name w:val="annotation text"/>
    <w:basedOn w:val="Normal"/>
    <w:semiHidden/>
    <w:rPr>
      <w:sz w:val="20"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2E701F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Part1">
    <w:name w:val="Part_1"/>
    <w:basedOn w:val="Normal"/>
    <w:qFormat/>
    <w:rsid w:val="002E701F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Normalend">
    <w:name w:val="Normal_end"/>
    <w:basedOn w:val="Normal"/>
    <w:qFormat/>
    <w:rsid w:val="007C2317"/>
  </w:style>
  <w:style w:type="paragraph" w:customStyle="1" w:styleId="ApptoAnnex">
    <w:name w:val="App_to_Annex"/>
    <w:basedOn w:val="AppendixNo"/>
    <w:qFormat/>
    <w:rsid w:val="007C2317"/>
  </w:style>
  <w:style w:type="character" w:customStyle="1" w:styleId="Tablefreq">
    <w:name w:val="Table_freq"/>
    <w:basedOn w:val="DefaultParagraphFont"/>
    <w:rsid w:val="00973754"/>
    <w:rPr>
      <w:b/>
      <w:color w:val="auto"/>
      <w:sz w:val="20"/>
    </w:rPr>
  </w:style>
  <w:style w:type="paragraph" w:customStyle="1" w:styleId="Tabletext">
    <w:name w:val="Table_text"/>
    <w:basedOn w:val="Normal"/>
    <w:rsid w:val="0097375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97375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73754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973754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97375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973754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973754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Section1">
    <w:name w:val="Section_1"/>
    <w:basedOn w:val="Normal"/>
    <w:rsid w:val="004B124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4B124A"/>
    <w:rPr>
      <w:b w:val="0"/>
      <w:i/>
    </w:rPr>
  </w:style>
  <w:style w:type="paragraph" w:customStyle="1" w:styleId="Section3">
    <w:name w:val="Section_3"/>
    <w:basedOn w:val="Section1"/>
    <w:rsid w:val="004B124A"/>
    <w:rPr>
      <w:b w:val="0"/>
    </w:rPr>
  </w:style>
  <w:style w:type="paragraph" w:customStyle="1" w:styleId="SectionNo">
    <w:name w:val="Section_No"/>
    <w:basedOn w:val="AnnexNo"/>
    <w:next w:val="Normal"/>
    <w:rsid w:val="004B124A"/>
  </w:style>
  <w:style w:type="paragraph" w:customStyle="1" w:styleId="Sectiontitle">
    <w:name w:val="Section_title"/>
    <w:basedOn w:val="Annextitle"/>
    <w:next w:val="Normalaftertitle"/>
    <w:rsid w:val="004B124A"/>
  </w:style>
  <w:style w:type="paragraph" w:customStyle="1" w:styleId="Source">
    <w:name w:val="Source"/>
    <w:basedOn w:val="Normal"/>
    <w:next w:val="Normal"/>
    <w:rsid w:val="004B124A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Normal"/>
    <w:rsid w:val="00E262F1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E262F1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E262F1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262F1"/>
    <w:rPr>
      <w:b/>
    </w:rPr>
  </w:style>
  <w:style w:type="paragraph" w:customStyle="1" w:styleId="toc0">
    <w:name w:val="toc 0"/>
    <w:basedOn w:val="Normal"/>
    <w:next w:val="TOC1"/>
    <w:rsid w:val="00F8150C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8150C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8150C"/>
    <w:pPr>
      <w:spacing w:before="120"/>
    </w:pPr>
  </w:style>
  <w:style w:type="paragraph" w:styleId="TOC3">
    <w:name w:val="toc 3"/>
    <w:basedOn w:val="TOC2"/>
    <w:rsid w:val="00F8150C"/>
  </w:style>
  <w:style w:type="paragraph" w:styleId="TOC4">
    <w:name w:val="toc 4"/>
    <w:basedOn w:val="TOC3"/>
    <w:rsid w:val="00F8150C"/>
  </w:style>
  <w:style w:type="paragraph" w:styleId="TOC5">
    <w:name w:val="toc 5"/>
    <w:basedOn w:val="TOC4"/>
    <w:rsid w:val="00F8150C"/>
  </w:style>
  <w:style w:type="paragraph" w:styleId="TOC6">
    <w:name w:val="toc 6"/>
    <w:basedOn w:val="TOC4"/>
    <w:rsid w:val="00F8150C"/>
  </w:style>
  <w:style w:type="paragraph" w:styleId="TOC7">
    <w:name w:val="toc 7"/>
    <w:basedOn w:val="TOC4"/>
    <w:rsid w:val="00F8150C"/>
  </w:style>
  <w:style w:type="paragraph" w:styleId="TOC8">
    <w:name w:val="toc 8"/>
    <w:basedOn w:val="TOC4"/>
    <w:rsid w:val="00F8150C"/>
  </w:style>
  <w:style w:type="paragraph" w:customStyle="1" w:styleId="Partref">
    <w:name w:val="Part_ref"/>
    <w:basedOn w:val="Annexref"/>
    <w:next w:val="Parttitle"/>
    <w:rsid w:val="0032680B"/>
  </w:style>
  <w:style w:type="paragraph" w:customStyle="1" w:styleId="Questionref">
    <w:name w:val="Question_ref"/>
    <w:basedOn w:val="Recref"/>
    <w:next w:val="Questiondate"/>
    <w:rsid w:val="006D6E67"/>
  </w:style>
  <w:style w:type="paragraph" w:customStyle="1" w:styleId="Restitle">
    <w:name w:val="Res_title"/>
    <w:basedOn w:val="Rectitle"/>
    <w:next w:val="Resref"/>
    <w:rsid w:val="009E11EC"/>
  </w:style>
  <w:style w:type="paragraph" w:customStyle="1" w:styleId="SpecialFooter">
    <w:name w:val="Special Footer"/>
    <w:basedOn w:val="Footer"/>
    <w:rsid w:val="00262C0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262C09"/>
  </w:style>
  <w:style w:type="paragraph" w:customStyle="1" w:styleId="AppArttitle">
    <w:name w:val="App_Art_title"/>
    <w:basedOn w:val="Arttitle"/>
    <w:next w:val="Normalaftertitle"/>
    <w:qFormat/>
    <w:rsid w:val="00163962"/>
  </w:style>
  <w:style w:type="paragraph" w:customStyle="1" w:styleId="AppArtNo">
    <w:name w:val="App_Art_No"/>
    <w:basedOn w:val="ArtNo"/>
    <w:next w:val="AppArttitle"/>
    <w:qFormat/>
    <w:rsid w:val="00163962"/>
  </w:style>
  <w:style w:type="paragraph" w:customStyle="1" w:styleId="Volumetitle">
    <w:name w:val="Volume_title"/>
    <w:basedOn w:val="ArtNo"/>
    <w:qFormat/>
    <w:rsid w:val="009144C9"/>
  </w:style>
  <w:style w:type="paragraph" w:customStyle="1" w:styleId="Committee">
    <w:name w:val="Committee"/>
    <w:basedOn w:val="Normal"/>
    <w:qFormat/>
    <w:rsid w:val="00440B3A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  <w:lang w:val="en-GB"/>
    </w:rPr>
  </w:style>
  <w:style w:type="character" w:customStyle="1" w:styleId="CallChar">
    <w:name w:val="Call Char"/>
    <w:basedOn w:val="DefaultParagraphFont"/>
    <w:link w:val="Call"/>
    <w:locked/>
    <w:rsid w:val="00F340E1"/>
    <w:rPr>
      <w:rFonts w:ascii="Times New Roman" w:hAnsi="Times New Roman"/>
      <w:i/>
      <w:sz w:val="24"/>
      <w:lang w:val="es-ES_tradnl" w:eastAsia="en-US"/>
    </w:rPr>
  </w:style>
  <w:style w:type="character" w:customStyle="1" w:styleId="enumlev1Char">
    <w:name w:val="enumlev1 Char"/>
    <w:basedOn w:val="DefaultParagraphFont"/>
    <w:link w:val="enumlev1"/>
    <w:locked/>
    <w:rsid w:val="00F340E1"/>
    <w:rPr>
      <w:rFonts w:ascii="Times New Roman" w:hAnsi="Times New Roman"/>
      <w:sz w:val="24"/>
      <w:lang w:val="es-ES_tradnl" w:eastAsia="en-US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F340E1"/>
    <w:rPr>
      <w:rFonts w:ascii="Times New Roman" w:hAnsi="Times New Roman"/>
      <w:sz w:val="24"/>
      <w:lang w:val="es-ES_tradnl" w:eastAsia="en-US"/>
    </w:rPr>
  </w:style>
  <w:style w:type="character" w:customStyle="1" w:styleId="ApprefBold">
    <w:name w:val="App_ref + Bold"/>
    <w:basedOn w:val="DefaultParagraphFont"/>
    <w:qFormat/>
    <w:rsid w:val="00F340E1"/>
    <w:rPr>
      <w:b/>
      <w:bCs w:val="0"/>
      <w:color w:val="000000"/>
    </w:rPr>
  </w:style>
  <w:style w:type="character" w:customStyle="1" w:styleId="NoteChar">
    <w:name w:val="Note Char"/>
    <w:basedOn w:val="DefaultParagraphFont"/>
    <w:link w:val="Note"/>
    <w:locked/>
    <w:rsid w:val="00F340E1"/>
    <w:rPr>
      <w:rFonts w:ascii="Times New Roman" w:hAnsi="Times New Roman"/>
      <w:sz w:val="24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597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2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R15-WRC15-C-0082!A21-A9!MSW-S</DPM_x0020_File_x0020_name>
    <DPM_x0020_Author xmlns="32a1a8c5-2265-4ebc-b7a0-2071e2c5c9bb" xsi:nil="false">Documents Proposals Manager (DPM)</DPM_x0020_Author>
    <DPM_x0020_Version xmlns="32a1a8c5-2265-4ebc-b7a0-2071e2c5c9bb" xsi:nil="false">DPM_v5.2015.10.230_prod</DPM_x0020_Version>
    <_dlc_DocId xmlns="996b2e75-67fd-4955-a3b0-5ab9934cb50b">CJDSJNEQ73FR-44-26</_dlc_DocId>
    <_dlc_DocIdUrl xmlns="996b2e75-67fd-4955-a3b0-5ab9934cb50b">
      <Url>http://spdev11/en/gmpcs/_layouts/DocIdRedir.aspx?ID=CJDSJNEQ73FR-44-26</Url>
      <Description>CJDSJNEQ73FR-44-26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C5E7EC-3995-4F1B-B228-99F0C29D40CF}">
  <ds:schemaRefs>
    <ds:schemaRef ds:uri="http://schemas.openxmlformats.org/package/2006/metadata/core-properties"/>
    <ds:schemaRef ds:uri="996b2e75-67fd-4955-a3b0-5ab9934cb50b"/>
    <ds:schemaRef ds:uri="http://schemas.microsoft.com/office/2006/documentManagement/types"/>
    <ds:schemaRef ds:uri="http://purl.org/dc/elements/1.1/"/>
    <ds:schemaRef ds:uri="32a1a8c5-2265-4ebc-b7a0-2071e2c5c9bb"/>
    <ds:schemaRef ds:uri="http://www.w3.org/XML/1998/namespace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2CF8841C-4C99-4FED-9DC5-CE991ED136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33CCF23-B591-4E25-9518-21E7CFF65DFA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0CE3EA1A-22A9-424A-B4DD-24279B59DDAA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F36A568B-EB74-4340-9990-CD57B9C03A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5</Pages>
  <Words>1952</Words>
  <Characters>11080</Characters>
  <Application>Microsoft Office Word</Application>
  <DocSecurity>0</DocSecurity>
  <Lines>92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R15-WRC15-C-0082!A21-A9!MSW-S</vt:lpstr>
    </vt:vector>
  </TitlesOfParts>
  <Manager>Secretaría General - Pool</Manager>
  <Company>Unión Internacional de Telecomunicaciones (UIT)</Company>
  <LinksUpToDate>false</LinksUpToDate>
  <CharactersWithSpaces>13006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R15-WRC15-C-0082!A21-A9!MSW-S</dc:title>
  <dc:subject>Conferencia Mundial de Radiocomunicaciones - 2015</dc:subject>
  <dc:creator>Documents Proposals Manager (DPM)</dc:creator>
  <cp:keywords>DPM_v5.2015.10.230_prod</cp:keywords>
  <dc:description/>
  <cp:lastModifiedBy>Saez Grau, Ricardo</cp:lastModifiedBy>
  <cp:revision>27</cp:revision>
  <cp:lastPrinted>2015-10-25T15:13:00Z</cp:lastPrinted>
  <dcterms:created xsi:type="dcterms:W3CDTF">2015-10-25T13:56:00Z</dcterms:created>
  <dcterms:modified xsi:type="dcterms:W3CDTF">2015-10-25T15:27:00Z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PS_WRC07.dot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add7aa17-fa7e-465d-ac10-95cdab21913b</vt:lpwstr>
  </property>
</Properties>
</file>