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11"/>
        <w:gridCol w:w="3261"/>
      </w:tblGrid>
      <w:tr w:rsidR="00280E04" w:rsidTr="002A58D9">
        <w:trPr>
          <w:cantSplit/>
          <w:trHeight w:val="20"/>
        </w:trPr>
        <w:tc>
          <w:tcPr>
            <w:tcW w:w="6411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261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2A58D9">
        <w:trPr>
          <w:cantSplit/>
          <w:trHeight w:val="20"/>
        </w:trPr>
        <w:tc>
          <w:tcPr>
            <w:tcW w:w="6411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2A58D9">
        <w:trPr>
          <w:cantSplit/>
          <w:trHeight w:val="20"/>
        </w:trPr>
        <w:tc>
          <w:tcPr>
            <w:tcW w:w="6411" w:type="dxa"/>
            <w:tcBorders>
              <w:top w:val="single" w:sz="12" w:space="0" w:color="auto"/>
            </w:tcBorders>
          </w:tcPr>
          <w:p w:rsidR="00280E04" w:rsidRPr="002A58D9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280E04" w:rsidRPr="002A58D9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2A58D9">
        <w:trPr>
          <w:cantSplit/>
        </w:trPr>
        <w:tc>
          <w:tcPr>
            <w:tcW w:w="6411" w:type="dxa"/>
            <w:shd w:val="clear" w:color="auto" w:fill="auto"/>
          </w:tcPr>
          <w:p w:rsidR="003E1608" w:rsidRPr="002A58D9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2A58D9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1608" w:rsidRPr="002A58D9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2A58D9">
              <w:rPr>
                <w:rFonts w:ascii="Verdana" w:hAnsi="Verdana"/>
                <w:rtl/>
              </w:rPr>
              <w:t xml:space="preserve">الإضافة </w:t>
            </w:r>
            <w:r w:rsidRPr="002A58D9">
              <w:rPr>
                <w:rFonts w:ascii="Verdana" w:hAnsi="Verdana"/>
              </w:rPr>
              <w:t>6</w:t>
            </w:r>
            <w:r w:rsidRPr="002A58D9">
              <w:rPr>
                <w:rFonts w:ascii="Verdana" w:hAnsi="Verdana"/>
              </w:rPr>
              <w:br/>
            </w:r>
            <w:r w:rsidRPr="002A58D9">
              <w:rPr>
                <w:rFonts w:ascii="Verdana" w:hAnsi="Verdana"/>
                <w:rtl/>
              </w:rPr>
              <w:t xml:space="preserve">للوثيقة </w:t>
            </w:r>
            <w:r w:rsidRPr="002A58D9">
              <w:rPr>
                <w:rFonts w:ascii="Verdana" w:hAnsi="Verdana"/>
              </w:rPr>
              <w:t>85(Add.23)(Add.1)-</w:t>
            </w:r>
            <w:r w:rsidR="002A58D9">
              <w:rPr>
                <w:rFonts w:ascii="Verdana" w:hAnsi="Verdana"/>
              </w:rPr>
              <w:t>A</w:t>
            </w:r>
          </w:p>
        </w:tc>
      </w:tr>
      <w:tr w:rsidR="00764079" w:rsidTr="002A58D9">
        <w:trPr>
          <w:cantSplit/>
        </w:trPr>
        <w:tc>
          <w:tcPr>
            <w:tcW w:w="6411" w:type="dxa"/>
            <w:shd w:val="clear" w:color="auto" w:fill="auto"/>
          </w:tcPr>
          <w:p w:rsidR="00764079" w:rsidRPr="002A58D9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64079" w:rsidRPr="002A58D9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2A58D9">
              <w:rPr>
                <w:rFonts w:ascii="Verdana" w:eastAsia="SimSun" w:hAnsi="Verdana"/>
              </w:rPr>
              <w:t>16</w:t>
            </w:r>
            <w:r w:rsidRPr="002A58D9">
              <w:rPr>
                <w:rFonts w:ascii="Verdana" w:eastAsia="SimSun" w:hAnsi="Verdana"/>
                <w:rtl/>
              </w:rPr>
              <w:t xml:space="preserve"> أكتوبر </w:t>
            </w:r>
            <w:r w:rsidRPr="002A58D9">
              <w:rPr>
                <w:rFonts w:ascii="Verdana" w:eastAsia="SimSun" w:hAnsi="Verdana"/>
              </w:rPr>
              <w:t>2015</w:t>
            </w:r>
          </w:p>
        </w:tc>
      </w:tr>
      <w:tr w:rsidR="00764079" w:rsidTr="002A58D9">
        <w:trPr>
          <w:cantSplit/>
        </w:trPr>
        <w:tc>
          <w:tcPr>
            <w:tcW w:w="6411" w:type="dxa"/>
          </w:tcPr>
          <w:p w:rsidR="00764079" w:rsidRPr="002A58D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261" w:type="dxa"/>
            <w:vAlign w:val="center"/>
          </w:tcPr>
          <w:p w:rsidR="00764079" w:rsidRPr="002A58D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2A58D9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A58D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2A58D9" w:rsidP="00C6361A">
            <w:pPr>
              <w:pStyle w:val="Source"/>
              <w:rPr>
                <w:rtl/>
              </w:rPr>
            </w:pPr>
            <w:r>
              <w:rPr>
                <w:rtl/>
              </w:rPr>
              <w:t>جمهورية بوروندي/جمهورية كينيا/</w:t>
            </w:r>
            <w:r w:rsidR="00C6361A" w:rsidRPr="008204AC">
              <w:rPr>
                <w:rtl/>
              </w:rPr>
              <w:t>جمهورية أوغندا</w:t>
            </w:r>
            <w:r w:rsidR="00C6361A">
              <w:rPr>
                <w:rFonts w:hint="cs"/>
                <w:rtl/>
              </w:rPr>
              <w:t>/</w:t>
            </w:r>
            <w:r w:rsidR="00C6361A">
              <w:rPr>
                <w:rtl/>
              </w:rPr>
              <w:br/>
            </w:r>
            <w:r>
              <w:rPr>
                <w:rFonts w:hint="cs"/>
                <w:rtl/>
              </w:rPr>
              <w:t>ج</w:t>
            </w:r>
            <w:r w:rsidR="00764079" w:rsidRPr="008204AC">
              <w:rPr>
                <w:rtl/>
              </w:rPr>
              <w:t>مهورية رواندا/جمهورية تنـزانيا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A58D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A58D9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A58D9">
              <w:t>(6.1.9)1.9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FB10A0" w:rsidP="002A58D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FB10A0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FB10A0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>(</w:t>
      </w:r>
      <w:r w:rsidRPr="00431196">
        <w:rPr>
          <w:rFonts w:eastAsia="SimSun"/>
        </w:rPr>
        <w:t>6.1.9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957 (WRC-12)</w:t>
      </w:r>
      <w:r w:rsidRPr="00431196">
        <w:rPr>
          <w:rFonts w:eastAsia="SimSun" w:hint="cs"/>
          <w:rtl/>
        </w:rPr>
        <w:t xml:space="preserve"> - إجراء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دراسات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بهدف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استعراض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تعاريف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الخدمة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الثابتة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والمحطة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الثابتة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والمحطة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المتنقلة</w:t>
      </w:r>
    </w:p>
    <w:p w:rsidR="00F16602" w:rsidRDefault="00516FDA" w:rsidP="00516FD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516FDA" w:rsidRPr="00AA572D" w:rsidRDefault="00516FDA" w:rsidP="00AA572D">
      <w:pPr>
        <w:rPr>
          <w:spacing w:val="6"/>
          <w:rtl/>
        </w:rPr>
      </w:pPr>
      <w:r w:rsidRPr="00AA572D">
        <w:rPr>
          <w:spacing w:val="6"/>
          <w:rtl/>
        </w:rPr>
        <w:t xml:space="preserve">نظر المؤتمر العالمي للاتصالات الراديوية لعام </w:t>
      </w:r>
      <w:r w:rsidRPr="00AA572D">
        <w:rPr>
          <w:spacing w:val="6"/>
        </w:rPr>
        <w:t>2012</w:t>
      </w:r>
      <w:r w:rsidRPr="00AA572D">
        <w:rPr>
          <w:spacing w:val="6"/>
          <w:rtl/>
        </w:rPr>
        <w:t xml:space="preserve"> في بعض مراجعات تعاريف </w:t>
      </w:r>
      <w:r w:rsidRPr="00AA572D">
        <w:rPr>
          <w:b/>
          <w:i/>
          <w:iCs/>
          <w:spacing w:val="6"/>
          <w:rtl/>
        </w:rPr>
        <w:t>الخدمة الثابتة</w:t>
      </w:r>
      <w:r w:rsidRPr="00AA572D">
        <w:rPr>
          <w:b/>
          <w:spacing w:val="6"/>
          <w:rtl/>
        </w:rPr>
        <w:t>، و</w:t>
      </w:r>
      <w:r w:rsidRPr="00AA572D">
        <w:rPr>
          <w:b/>
          <w:i/>
          <w:iCs/>
          <w:spacing w:val="6"/>
          <w:rtl/>
        </w:rPr>
        <w:t>المحطة الثابتة</w:t>
      </w:r>
      <w:r w:rsidRPr="00AA572D">
        <w:rPr>
          <w:b/>
          <w:spacing w:val="6"/>
          <w:rtl/>
        </w:rPr>
        <w:t>، و</w:t>
      </w:r>
      <w:r w:rsidRPr="00AA572D">
        <w:rPr>
          <w:b/>
          <w:i/>
          <w:iCs/>
          <w:spacing w:val="6"/>
          <w:rtl/>
        </w:rPr>
        <w:t>المحطة المتنقلة</w:t>
      </w:r>
      <w:r w:rsidRPr="00AA572D">
        <w:rPr>
          <w:spacing w:val="6"/>
          <w:rtl/>
        </w:rPr>
        <w:t xml:space="preserve"> في</w:t>
      </w:r>
      <w:r w:rsidRPr="00AA572D">
        <w:rPr>
          <w:rFonts w:hint="eastAsia"/>
          <w:spacing w:val="6"/>
          <w:rtl/>
        </w:rPr>
        <w:t> </w:t>
      </w:r>
      <w:r w:rsidRPr="00AA572D">
        <w:rPr>
          <w:spacing w:val="6"/>
          <w:rtl/>
        </w:rPr>
        <w:t>المادة</w:t>
      </w:r>
      <w:r w:rsidRPr="00AA572D">
        <w:rPr>
          <w:rFonts w:hint="eastAsia"/>
          <w:spacing w:val="6"/>
          <w:rtl/>
        </w:rPr>
        <w:t> </w:t>
      </w:r>
      <w:r w:rsidRPr="00883D63">
        <w:rPr>
          <w:spacing w:val="6"/>
        </w:rPr>
        <w:t>1</w:t>
      </w:r>
      <w:r w:rsidRPr="00AA572D">
        <w:rPr>
          <w:spacing w:val="6"/>
          <w:rtl/>
        </w:rPr>
        <w:t xml:space="preserve"> من لوائح الراديو بناء</w:t>
      </w:r>
      <w:r w:rsidRPr="00AA572D">
        <w:rPr>
          <w:rFonts w:hint="cs"/>
          <w:spacing w:val="6"/>
          <w:rtl/>
        </w:rPr>
        <w:t>ً</w:t>
      </w:r>
      <w:r w:rsidRPr="00AA572D">
        <w:rPr>
          <w:spacing w:val="6"/>
          <w:rtl/>
        </w:rPr>
        <w:t xml:space="preserve"> على ما تم إجراؤه من دراسات لمعالجة تقارب الخدمتين الثابتة والمتنقلة في إطار البند </w:t>
      </w:r>
      <w:r w:rsidRPr="00AA572D">
        <w:rPr>
          <w:spacing w:val="6"/>
        </w:rPr>
        <w:t>2.1</w:t>
      </w:r>
      <w:r w:rsidRPr="00AA572D">
        <w:rPr>
          <w:spacing w:val="6"/>
          <w:rtl/>
        </w:rPr>
        <w:t xml:space="preserve"> من جدول أعمال المؤتمر، ولكنه قرر أنه ينبغي استعراض هذه المسألة وإخضاعها لمزيد من الدراسة للنظر فيها خلال المؤتمر العالمي للاتصالات الراديوية لعام </w:t>
      </w:r>
      <w:r w:rsidRPr="00AA572D">
        <w:rPr>
          <w:spacing w:val="6"/>
        </w:rPr>
        <w:t>2015</w:t>
      </w:r>
      <w:r w:rsidRPr="00AA572D">
        <w:rPr>
          <w:spacing w:val="6"/>
          <w:rtl/>
        </w:rPr>
        <w:t xml:space="preserve"> في إطار تقرير مدير مكتب الاتصالات الراديوية</w:t>
      </w:r>
      <w:r w:rsidRPr="00AA572D">
        <w:rPr>
          <w:rFonts w:hint="cs"/>
          <w:spacing w:val="6"/>
          <w:rtl/>
        </w:rPr>
        <w:t>.</w:t>
      </w:r>
      <w:r w:rsidRPr="00AA572D">
        <w:rPr>
          <w:spacing w:val="6"/>
          <w:rtl/>
        </w:rPr>
        <w:t xml:space="preserve"> وبينما تناول البند </w:t>
      </w:r>
      <w:r w:rsidRPr="00AA572D">
        <w:rPr>
          <w:spacing w:val="6"/>
        </w:rPr>
        <w:t>2.1</w:t>
      </w:r>
      <w:r w:rsidRPr="00AA572D">
        <w:rPr>
          <w:spacing w:val="6"/>
          <w:rtl/>
        </w:rPr>
        <w:t xml:space="preserve"> من جدول أعمال المؤتمر العالمي للاتصالات الراديوية لعام </w:t>
      </w:r>
      <w:r w:rsidRPr="00AA572D">
        <w:rPr>
          <w:spacing w:val="6"/>
        </w:rPr>
        <w:t>2012</w:t>
      </w:r>
      <w:r w:rsidRPr="00AA572D">
        <w:rPr>
          <w:spacing w:val="6"/>
          <w:rtl/>
        </w:rPr>
        <w:t xml:space="preserve"> السياق الأوسع كثيراً الذي ينطوي عليه تعزيز الإطار التنظيمي الدولي، اع</w:t>
      </w:r>
      <w:r w:rsidRPr="00AA572D">
        <w:rPr>
          <w:rFonts w:hint="cs"/>
          <w:spacing w:val="6"/>
          <w:rtl/>
        </w:rPr>
        <w:t>تُ</w:t>
      </w:r>
      <w:r w:rsidRPr="00AA572D">
        <w:rPr>
          <w:spacing w:val="6"/>
          <w:rtl/>
        </w:rPr>
        <w:t>مدت المسألة</w:t>
      </w:r>
      <w:r w:rsidRPr="00AA572D">
        <w:rPr>
          <w:rFonts w:hint="eastAsia"/>
          <w:spacing w:val="6"/>
          <w:rtl/>
        </w:rPr>
        <w:t> </w:t>
      </w:r>
      <w:r w:rsidRPr="00AA572D">
        <w:rPr>
          <w:spacing w:val="6"/>
        </w:rPr>
        <w:t>6.1.9</w:t>
      </w:r>
      <w:r w:rsidRPr="00AA572D">
        <w:rPr>
          <w:spacing w:val="6"/>
          <w:rtl/>
        </w:rPr>
        <w:t xml:space="preserve"> في</w:t>
      </w:r>
      <w:r w:rsidRPr="00AA572D">
        <w:rPr>
          <w:rFonts w:hint="cs"/>
          <w:spacing w:val="6"/>
          <w:rtl/>
        </w:rPr>
        <w:t> </w:t>
      </w:r>
      <w:r w:rsidRPr="00AA572D">
        <w:rPr>
          <w:spacing w:val="6"/>
          <w:rtl/>
        </w:rPr>
        <w:t xml:space="preserve">إطار البند </w:t>
      </w:r>
      <w:r w:rsidRPr="00AA572D">
        <w:rPr>
          <w:spacing w:val="6"/>
        </w:rPr>
        <w:t>1.9</w:t>
      </w:r>
      <w:r w:rsidRPr="00AA572D">
        <w:rPr>
          <w:spacing w:val="6"/>
          <w:rtl/>
        </w:rPr>
        <w:t xml:space="preserve"> من جدول أعمال المؤتمر العالمي للاتصالات الراديوية لعام </w:t>
      </w:r>
      <w:r w:rsidRPr="00AA572D">
        <w:rPr>
          <w:spacing w:val="6"/>
        </w:rPr>
        <w:t>2015</w:t>
      </w:r>
      <w:r w:rsidRPr="00AA572D">
        <w:rPr>
          <w:spacing w:val="6"/>
          <w:rtl/>
        </w:rPr>
        <w:t xml:space="preserve"> للتركيز تحديداً على التعديلات التي يمكن إدخالها على تلك التعاريف الثلاثة لمعالجة التقارب ولدعم تنفيذ ممارسات إدارة الطيف بكفاءة واستعمال الطيف</w:t>
      </w:r>
      <w:r w:rsidRPr="00AA572D">
        <w:rPr>
          <w:rFonts w:hint="cs"/>
          <w:spacing w:val="6"/>
          <w:rtl/>
        </w:rPr>
        <w:t>.</w:t>
      </w:r>
    </w:p>
    <w:p w:rsidR="00516FDA" w:rsidRPr="00FE31D6" w:rsidRDefault="00674F72" w:rsidP="00AA572D">
      <w:pPr>
        <w:keepNext/>
        <w:rPr>
          <w:rtl/>
          <w:lang w:bidi="ar-EG"/>
        </w:rPr>
      </w:pPr>
      <w:r w:rsidRPr="00FE31D6">
        <w:rPr>
          <w:rFonts w:hint="cs"/>
          <w:rtl/>
          <w:lang w:bidi="ar-EG"/>
        </w:rPr>
        <w:lastRenderedPageBreak/>
        <w:t xml:space="preserve">ترى البلدان الأعضاء في منظمة شرق إفريقيا للاتصالات </w:t>
      </w:r>
      <w:r w:rsidRPr="00FE31D6">
        <w:t>(BDI/KEN/UGA/RRW/TZA)</w:t>
      </w:r>
      <w:r w:rsidRPr="00FE31D6">
        <w:rPr>
          <w:rFonts w:hint="cs"/>
          <w:rtl/>
        </w:rPr>
        <w:t xml:space="preserve"> أنه ينبغي </w:t>
      </w:r>
      <w:r w:rsidR="00912E6C" w:rsidRPr="00FE31D6">
        <w:rPr>
          <w:rFonts w:hint="cs"/>
          <w:rtl/>
        </w:rPr>
        <w:t>ألا يدخل أي</w:t>
      </w:r>
      <w:r w:rsidRPr="00FE31D6">
        <w:rPr>
          <w:rFonts w:hint="cs"/>
          <w:rtl/>
        </w:rPr>
        <w:t xml:space="preserve"> </w:t>
      </w:r>
      <w:r w:rsidR="00912E6C" w:rsidRPr="00FE31D6">
        <w:rPr>
          <w:rFonts w:hint="cs"/>
          <w:rtl/>
        </w:rPr>
        <w:t>تعديل</w:t>
      </w:r>
      <w:r w:rsidRPr="00FE31D6">
        <w:rPr>
          <w:rFonts w:hint="cs"/>
          <w:rtl/>
        </w:rPr>
        <w:t xml:space="preserve"> </w:t>
      </w:r>
      <w:r w:rsidR="008C0AC3" w:rsidRPr="00FE31D6">
        <w:rPr>
          <w:rFonts w:hint="cs"/>
          <w:rtl/>
        </w:rPr>
        <w:t xml:space="preserve">على تعاريف </w:t>
      </w:r>
      <w:r w:rsidR="008C0AC3" w:rsidRPr="00FE31D6">
        <w:rPr>
          <w:rFonts w:hint="cs"/>
          <w:i/>
          <w:iCs/>
          <w:rtl/>
        </w:rPr>
        <w:t>الخدمة الثابتة والمحطة الثابتة والمحطة المتنقلة</w:t>
      </w:r>
      <w:r w:rsidR="008C0AC3" w:rsidRPr="00FE31D6">
        <w:rPr>
          <w:rFonts w:hint="cs"/>
          <w:rtl/>
        </w:rPr>
        <w:t xml:space="preserve"> </w:t>
      </w:r>
      <w:r w:rsidR="00282F4F" w:rsidRPr="00FE31D6">
        <w:rPr>
          <w:rFonts w:hint="cs"/>
          <w:rtl/>
        </w:rPr>
        <w:t xml:space="preserve">الواردة </w:t>
      </w:r>
      <w:r w:rsidR="008C0AC3" w:rsidRPr="00FE31D6">
        <w:rPr>
          <w:rFonts w:hint="cs"/>
          <w:rtl/>
        </w:rPr>
        <w:t xml:space="preserve">في المادة </w:t>
      </w:r>
      <w:r w:rsidR="008C0AC3" w:rsidRPr="00FE31D6">
        <w:t>1</w:t>
      </w:r>
      <w:r w:rsidR="008C0AC3" w:rsidRPr="00FE31D6">
        <w:rPr>
          <w:rFonts w:hint="cs"/>
          <w:rtl/>
          <w:lang w:bidi="ar-EG"/>
        </w:rPr>
        <w:t xml:space="preserve"> من لوائح الراديو.</w:t>
      </w:r>
    </w:p>
    <w:p w:rsidR="00516FDA" w:rsidRPr="00FE31D6" w:rsidRDefault="00F64024" w:rsidP="00AA572D">
      <w:pPr>
        <w:pStyle w:val="Headingb"/>
        <w:rPr>
          <w:rFonts w:ascii="Times New Roman" w:hAnsi="Times New Roman"/>
          <w:sz w:val="22"/>
          <w:szCs w:val="30"/>
          <w:rtl/>
        </w:rPr>
      </w:pPr>
      <w:r w:rsidRPr="00FE31D6">
        <w:rPr>
          <w:rFonts w:ascii="Times New Roman" w:hAnsi="Times New Roman" w:hint="cs"/>
          <w:sz w:val="22"/>
          <w:szCs w:val="30"/>
          <w:rtl/>
        </w:rPr>
        <w:t>المقترح</w:t>
      </w:r>
    </w:p>
    <w:p w:rsidR="006904A8" w:rsidRDefault="006904A8" w:rsidP="00AA572D">
      <w:pPr>
        <w:pStyle w:val="Headingb"/>
        <w:rPr>
          <w:rFonts w:ascii="Times New Roman"/>
          <w:bCs w:val="0"/>
          <w:rtl/>
        </w:rPr>
      </w:pPr>
      <w:r w:rsidRPr="00FE31D6">
        <w:rPr>
          <w:rFonts w:ascii="Times New Roman" w:hAnsi="Times New Roman" w:hint="cs"/>
          <w:bCs w:val="0"/>
          <w:sz w:val="22"/>
          <w:szCs w:val="30"/>
          <w:rtl/>
        </w:rPr>
        <w:t xml:space="preserve">مقترح البلدان الأعضاء في منظمة شرق إفريقيا للاتصالات </w:t>
      </w:r>
      <w:r w:rsidRPr="00FE31D6">
        <w:rPr>
          <w:rFonts w:ascii="Times New Roman" w:hAnsi="Times New Roman"/>
          <w:bCs w:val="0"/>
          <w:sz w:val="22"/>
          <w:szCs w:val="30"/>
        </w:rPr>
        <w:t>(BDI/KEN/UGA/RRW/TZA)</w:t>
      </w:r>
      <w:r w:rsidRPr="00FE31D6">
        <w:rPr>
          <w:rFonts w:ascii="Times New Roman" w:hAnsi="Times New Roman" w:hint="cs"/>
          <w:bCs w:val="0"/>
          <w:sz w:val="22"/>
          <w:szCs w:val="30"/>
          <w:rtl/>
        </w:rPr>
        <w:t xml:space="preserve"> مبين أدناه</w:t>
      </w:r>
      <w:r w:rsidR="00EE24A9">
        <w:rPr>
          <w:rFonts w:ascii="Times New Roman" w:hAnsi="Times New Roman" w:hint="cs"/>
          <w:bCs w:val="0"/>
          <w:sz w:val="22"/>
          <w:szCs w:val="30"/>
          <w:rtl/>
        </w:rPr>
        <w:t>:</w:t>
      </w:r>
    </w:p>
    <w:p w:rsidR="00F64024" w:rsidRDefault="00F64024" w:rsidP="00AA572D">
      <w:pPr>
        <w:pStyle w:val="Headingb"/>
        <w:rPr>
          <w:rFonts w:ascii="Times New Roman"/>
          <w:bCs w:val="0"/>
          <w:rtl/>
        </w:rPr>
      </w:pPr>
    </w:p>
    <w:p w:rsidR="001436BA" w:rsidRPr="002A58D9" w:rsidRDefault="00FB10A0" w:rsidP="00F22797">
      <w:pPr>
        <w:pStyle w:val="Proposal"/>
        <w:rPr>
          <w:lang w:val="es-ES"/>
        </w:rPr>
      </w:pPr>
      <w:r w:rsidRPr="002A58D9">
        <w:rPr>
          <w:u w:val="single"/>
          <w:lang w:val="es-ES"/>
        </w:rPr>
        <w:t>NOC</w:t>
      </w:r>
      <w:r w:rsidRPr="002A58D9">
        <w:rPr>
          <w:lang w:val="es-ES"/>
        </w:rPr>
        <w:tab/>
        <w:t>BDI/KEN</w:t>
      </w:r>
      <w:r w:rsidR="00F22797" w:rsidRPr="002A58D9">
        <w:rPr>
          <w:lang w:val="es-ES"/>
        </w:rPr>
        <w:t>/UGA</w:t>
      </w:r>
      <w:r w:rsidRPr="002A58D9">
        <w:rPr>
          <w:lang w:val="es-ES"/>
        </w:rPr>
        <w:t>/RRW/TZA/85A23A1A6/1</w:t>
      </w:r>
    </w:p>
    <w:p w:rsidR="009F37C9" w:rsidRPr="00BB3026" w:rsidRDefault="00516FDA" w:rsidP="00314618">
      <w:pPr>
        <w:pStyle w:val="Section1"/>
        <w:rPr>
          <w:rtl/>
        </w:rPr>
      </w:pPr>
      <w:r>
        <w:rPr>
          <w:rFonts w:hint="cs"/>
          <w:rtl/>
        </w:rPr>
        <w:t>لوائح الراديو</w:t>
      </w:r>
    </w:p>
    <w:p w:rsidR="001436BA" w:rsidRDefault="001436BA">
      <w:pPr>
        <w:pStyle w:val="Reasons"/>
      </w:pPr>
    </w:p>
    <w:p w:rsidR="001436BA" w:rsidRDefault="00FB10A0" w:rsidP="00F22797">
      <w:pPr>
        <w:pStyle w:val="Proposal"/>
      </w:pPr>
      <w:r>
        <w:t>SUP</w:t>
      </w:r>
      <w:r>
        <w:tab/>
        <w:t>BDI/KEN</w:t>
      </w:r>
      <w:r w:rsidR="00F22797">
        <w:t>/UGA</w:t>
      </w:r>
      <w:r>
        <w:t>/RRW/TZA/85A23A1A6/2</w:t>
      </w:r>
    </w:p>
    <w:p w:rsidR="00F26C6D" w:rsidRDefault="00FB10A0" w:rsidP="0092116E">
      <w:pPr>
        <w:pStyle w:val="ResNo"/>
        <w:rPr>
          <w:rtl/>
          <w:lang w:bidi="ar-SA"/>
        </w:rPr>
      </w:pPr>
      <w:bookmarkStart w:id="1" w:name="_Toc327956811"/>
      <w:r>
        <w:rPr>
          <w:rFonts w:hint="cs"/>
          <w:rtl/>
        </w:rPr>
        <w:t xml:space="preserve">القـرار </w:t>
      </w:r>
      <w:r w:rsidRPr="00E23BAD">
        <w:t>957</w:t>
      </w:r>
      <w:r>
        <w:t> (WRC-12)</w:t>
      </w:r>
      <w:bookmarkEnd w:id="1"/>
    </w:p>
    <w:p w:rsidR="00F26C6D" w:rsidRDefault="00FB10A0" w:rsidP="00F26C6D">
      <w:pPr>
        <w:pStyle w:val="Restitle"/>
        <w:rPr>
          <w:i/>
          <w:iCs/>
          <w:lang w:bidi="ar-EG"/>
        </w:rPr>
      </w:pPr>
      <w:bookmarkStart w:id="2" w:name="_Toc327956812"/>
      <w:r>
        <w:rPr>
          <w:rFonts w:hint="cs"/>
          <w:rtl/>
          <w:lang w:bidi="ar-EG"/>
        </w:rPr>
        <w:t xml:space="preserve">إجراء دراسات بهدف استعراض تعاريف </w:t>
      </w:r>
      <w:r w:rsidRPr="00B76FE9">
        <w:rPr>
          <w:rFonts w:hint="cs"/>
          <w:i/>
          <w:iCs/>
          <w:rtl/>
          <w:lang w:bidi="ar-EG"/>
        </w:rPr>
        <w:t>الخدمة الثابتة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و</w:t>
      </w:r>
      <w:r w:rsidRPr="00B76FE9">
        <w:rPr>
          <w:rFonts w:hint="cs"/>
          <w:i/>
          <w:iCs/>
          <w:rtl/>
          <w:lang w:bidi="ar-EG"/>
        </w:rPr>
        <w:t xml:space="preserve">المحطة الثابتة </w:t>
      </w:r>
      <w:r>
        <w:rPr>
          <w:rFonts w:hint="cs"/>
          <w:rtl/>
          <w:lang w:bidi="ar-EG"/>
        </w:rPr>
        <w:t>و</w:t>
      </w:r>
      <w:r w:rsidRPr="00B76FE9">
        <w:rPr>
          <w:rFonts w:hint="cs"/>
          <w:i/>
          <w:iCs/>
          <w:rtl/>
          <w:lang w:bidi="ar-EG"/>
        </w:rPr>
        <w:t>المحطة المتنقلة</w:t>
      </w:r>
      <w:bookmarkEnd w:id="2"/>
    </w:p>
    <w:p w:rsidR="0063320B" w:rsidRPr="0063320B" w:rsidRDefault="0063320B" w:rsidP="0063320B">
      <w:pPr>
        <w:pStyle w:val="Reasons"/>
        <w:rPr>
          <w:rtl/>
          <w:lang w:bidi="ar-EG"/>
        </w:rPr>
      </w:pPr>
      <w:bookmarkStart w:id="3" w:name="_GoBack"/>
      <w:bookmarkEnd w:id="3"/>
    </w:p>
    <w:p w:rsidR="00516FDA" w:rsidRPr="00516FDA" w:rsidRDefault="00516FDA" w:rsidP="00516FD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516FDA" w:rsidRPr="00516FD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A58D9" w:rsidRDefault="00281F5F" w:rsidP="002A58D9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2A58D9">
      <w:instrText xml:space="preserve"> FILENAME \p \* MERGEFORMAT </w:instrText>
    </w:r>
    <w:r w:rsidRPr="00CB4300">
      <w:fldChar w:fldCharType="separate"/>
    </w:r>
    <w:r w:rsidR="00C6361A">
      <w:rPr>
        <w:noProof/>
      </w:rPr>
      <w:t>P:\ARA\ITU-R\CONF-R\CMR15\000\085ADD23ADD01ADD06A.docx</w:t>
    </w:r>
    <w:r w:rsidRPr="00CB4300">
      <w:fldChar w:fldCharType="end"/>
    </w:r>
    <w:r w:rsidRPr="002A58D9">
      <w:t xml:space="preserve">  (</w:t>
    </w:r>
    <w:r w:rsidR="002A58D9">
      <w:t>388619</w:t>
    </w:r>
    <w:r w:rsidRPr="002A58D9">
      <w:t>)</w:t>
    </w:r>
    <w:r w:rsidRPr="002A58D9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3320B">
      <w:rPr>
        <w:noProof/>
      </w:rPr>
      <w:t>30.10.15</w:t>
    </w:r>
    <w:r w:rsidRPr="00CB4300">
      <w:fldChar w:fldCharType="end"/>
    </w:r>
    <w:r w:rsidRPr="002A58D9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C6361A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A58D9" w:rsidRDefault="00281F5F" w:rsidP="002A58D9">
    <w:pPr>
      <w:pStyle w:val="Footer"/>
      <w:tabs>
        <w:tab w:val="clear" w:pos="5812"/>
        <w:tab w:val="left" w:pos="6379"/>
      </w:tabs>
    </w:pPr>
    <w:r>
      <w:fldChar w:fldCharType="begin"/>
    </w:r>
    <w:r w:rsidRPr="002A58D9">
      <w:instrText xml:space="preserve"> FILENAME \p \* MERGEFORMAT </w:instrText>
    </w:r>
    <w:r>
      <w:fldChar w:fldCharType="separate"/>
    </w:r>
    <w:r w:rsidR="00C6361A">
      <w:rPr>
        <w:noProof/>
      </w:rPr>
      <w:t>P:\ARA\ITU-R\CONF-R\CMR15\000\085ADD23ADD01ADD06A.docx</w:t>
    </w:r>
    <w:r>
      <w:fldChar w:fldCharType="end"/>
    </w:r>
    <w:r w:rsidRPr="002A58D9">
      <w:t xml:space="preserve">   (</w:t>
    </w:r>
    <w:r w:rsidR="002A58D9">
      <w:t>388619</w:t>
    </w:r>
    <w:r w:rsidRPr="002A58D9">
      <w:t>)</w:t>
    </w:r>
    <w:r w:rsidRPr="002A58D9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3320B">
      <w:rPr>
        <w:noProof/>
      </w:rPr>
      <w:t>30.10.15</w:t>
    </w:r>
    <w:r w:rsidRPr="00B12661">
      <w:fldChar w:fldCharType="end"/>
    </w:r>
    <w:r w:rsidRPr="002A58D9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6361A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3320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85(Add.23)(Add.1)(Add.6)-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6B61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414D"/>
    <w:rsid w:val="001436BA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2F4F"/>
    <w:rsid w:val="002843E4"/>
    <w:rsid w:val="002919E1"/>
    <w:rsid w:val="00295917"/>
    <w:rsid w:val="00296071"/>
    <w:rsid w:val="002A4572"/>
    <w:rsid w:val="002A58D9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527B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F1E78"/>
    <w:rsid w:val="00505FCA"/>
    <w:rsid w:val="00510C2D"/>
    <w:rsid w:val="005169F4"/>
    <w:rsid w:val="00516FDA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3320B"/>
    <w:rsid w:val="00651343"/>
    <w:rsid w:val="0065562F"/>
    <w:rsid w:val="00674F72"/>
    <w:rsid w:val="00680A66"/>
    <w:rsid w:val="00681391"/>
    <w:rsid w:val="006904A8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36C2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83D63"/>
    <w:rsid w:val="008911EC"/>
    <w:rsid w:val="00893E53"/>
    <w:rsid w:val="008A1137"/>
    <w:rsid w:val="008A1788"/>
    <w:rsid w:val="008A4185"/>
    <w:rsid w:val="008A6552"/>
    <w:rsid w:val="008B4E93"/>
    <w:rsid w:val="008C0AC3"/>
    <w:rsid w:val="008D4F14"/>
    <w:rsid w:val="008D6ACC"/>
    <w:rsid w:val="008D7AF0"/>
    <w:rsid w:val="008E32DD"/>
    <w:rsid w:val="008F4626"/>
    <w:rsid w:val="009004DF"/>
    <w:rsid w:val="00904AA5"/>
    <w:rsid w:val="00905D21"/>
    <w:rsid w:val="00912E6C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A572D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6361A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E24A9"/>
    <w:rsid w:val="00EF38AF"/>
    <w:rsid w:val="00F055F8"/>
    <w:rsid w:val="00F10CB4"/>
    <w:rsid w:val="00F11B3D"/>
    <w:rsid w:val="00F14763"/>
    <w:rsid w:val="00F16212"/>
    <w:rsid w:val="00F16602"/>
    <w:rsid w:val="00F22797"/>
    <w:rsid w:val="00F25B80"/>
    <w:rsid w:val="00F2685F"/>
    <w:rsid w:val="00F350C8"/>
    <w:rsid w:val="00F64024"/>
    <w:rsid w:val="00F8654D"/>
    <w:rsid w:val="00F900C9"/>
    <w:rsid w:val="00F92C96"/>
    <w:rsid w:val="00FA0D4E"/>
    <w:rsid w:val="00FB0753"/>
    <w:rsid w:val="00FB10A0"/>
    <w:rsid w:val="00FB5CC8"/>
    <w:rsid w:val="00FC2CD0"/>
    <w:rsid w:val="00FD0594"/>
    <w:rsid w:val="00FE31D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F9D708F9-C154-413F-A077-C1E2FA61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R15-WRC15-C-0085!A23-A1-A6!MSW-A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0C807-CA4B-42E4-9A1C-958A7CF95F2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8D92694E-C8B3-4079-9489-0C0ECF5E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277</Words>
  <Characters>1708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R15-WRC15-C-0085!A23-A1-A6!MSW-A</vt:lpstr>
    </vt:vector>
  </TitlesOfParts>
  <Manager>General Secretariat - Pool</Manager>
  <Company>International Telecommunication Union (ITU)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R15-WRC15-C-0085!A23-A1-A6!MSW-A</dc:title>
  <dc:creator>Documents Proposals Manager (DPM)</dc:creator>
  <cp:keywords>DPM_v5.2015.10.22_prod</cp:keywords>
  <cp:lastModifiedBy>Murphy, Margaret</cp:lastModifiedBy>
  <cp:revision>9</cp:revision>
  <cp:lastPrinted>2015-10-30T21:22:00Z</cp:lastPrinted>
  <dcterms:created xsi:type="dcterms:W3CDTF">2015-10-29T22:25:00Z</dcterms:created>
  <dcterms:modified xsi:type="dcterms:W3CDTF">2015-10-30T23:27:00Z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