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A2CD9" w:rsidTr="00921E32">
        <w:trPr>
          <w:cantSplit/>
        </w:trPr>
        <w:tc>
          <w:tcPr>
            <w:tcW w:w="6521" w:type="dxa"/>
          </w:tcPr>
          <w:p w:rsidR="005651C9" w:rsidRPr="002A2CD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A2CD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A2CD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A2CD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A2CD9">
              <w:rPr>
                <w:rFonts w:ascii="Verdana" w:hAnsi="Verdana"/>
                <w:b/>
                <w:bCs/>
                <w:szCs w:val="22"/>
              </w:rPr>
              <w:t>15)</w:t>
            </w:r>
            <w:r w:rsidRPr="002A2CD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A2CD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2A2CD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A2CD9">
              <w:rPr>
                <w:lang w:eastAsia="zh-CN"/>
              </w:rPr>
              <w:drawing>
                <wp:inline distT="0" distB="0" distL="0" distR="0" wp14:anchorId="4E871849" wp14:editId="2FBB8FB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A2CD9" w:rsidTr="00921E3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2A2CD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A2CD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2A2CD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A2CD9" w:rsidTr="00921E3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2A2CD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2A2CD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A2CD9" w:rsidTr="00921E32">
        <w:trPr>
          <w:cantSplit/>
        </w:trPr>
        <w:tc>
          <w:tcPr>
            <w:tcW w:w="6521" w:type="dxa"/>
            <w:shd w:val="clear" w:color="auto" w:fill="auto"/>
          </w:tcPr>
          <w:p w:rsidR="005651C9" w:rsidRPr="002A2CD9" w:rsidRDefault="009B7054" w:rsidP="009B705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2CD9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510" w:type="dxa"/>
            <w:shd w:val="clear" w:color="auto" w:fill="auto"/>
          </w:tcPr>
          <w:p w:rsidR="005651C9" w:rsidRPr="002A2CD9" w:rsidRDefault="009B7054" w:rsidP="008340E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2C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24 к </w:t>
            </w:r>
            <w:r w:rsidR="005A295E" w:rsidRPr="002A2C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 w:rsidR="008340ED" w:rsidRPr="002A2C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у</w:t>
            </w:r>
            <w:r w:rsidR="005A295E" w:rsidRPr="002A2C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8</w:t>
            </w:r>
            <w:r w:rsidRPr="002A2C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</w:t>
            </w:r>
            <w:r w:rsidR="005651C9" w:rsidRPr="002A2CD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2A2CD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A2CD9" w:rsidTr="00921E32">
        <w:trPr>
          <w:cantSplit/>
        </w:trPr>
        <w:tc>
          <w:tcPr>
            <w:tcW w:w="6521" w:type="dxa"/>
            <w:shd w:val="clear" w:color="auto" w:fill="auto"/>
          </w:tcPr>
          <w:p w:rsidR="000F33D8" w:rsidRPr="002A2C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2A2CD9" w:rsidRDefault="000F33D8" w:rsidP="009B705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2CD9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9B7054" w:rsidRPr="002A2CD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A2CD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B7054" w:rsidRPr="002A2CD9">
              <w:rPr>
                <w:rFonts w:ascii="Verdana" w:hAnsi="Verdana"/>
                <w:b/>
                <w:bCs/>
                <w:sz w:val="18"/>
                <w:szCs w:val="18"/>
              </w:rPr>
              <w:t>ноября</w:t>
            </w:r>
            <w:r w:rsidRPr="002A2CD9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2A2CD9" w:rsidTr="00921E32">
        <w:trPr>
          <w:cantSplit/>
        </w:trPr>
        <w:tc>
          <w:tcPr>
            <w:tcW w:w="6521" w:type="dxa"/>
          </w:tcPr>
          <w:p w:rsidR="000F33D8" w:rsidRPr="002A2C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2A2CD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2CD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A2CD9" w:rsidTr="00C85743">
        <w:trPr>
          <w:cantSplit/>
        </w:trPr>
        <w:tc>
          <w:tcPr>
            <w:tcW w:w="10031" w:type="dxa"/>
            <w:gridSpan w:val="2"/>
          </w:tcPr>
          <w:p w:rsidR="000F33D8" w:rsidRPr="002A2CD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A2CD9">
        <w:trPr>
          <w:cantSplit/>
        </w:trPr>
        <w:tc>
          <w:tcPr>
            <w:tcW w:w="10031" w:type="dxa"/>
            <w:gridSpan w:val="2"/>
          </w:tcPr>
          <w:p w:rsidR="000F33D8" w:rsidRPr="002A2CD9" w:rsidRDefault="009B7054" w:rsidP="009B7054">
            <w:pPr>
              <w:pStyle w:val="Source"/>
            </w:pPr>
            <w:bookmarkStart w:id="4" w:name="dsource" w:colFirst="0" w:colLast="0"/>
            <w:r w:rsidRPr="002A2CD9">
              <w:t>Бурунди</w:t>
            </w:r>
            <w:r w:rsidR="00F60325" w:rsidRPr="002A2CD9">
              <w:t xml:space="preserve"> (Республика</w:t>
            </w:r>
            <w:r w:rsidRPr="002A2CD9">
              <w:t xml:space="preserve">), </w:t>
            </w:r>
            <w:r w:rsidRPr="002A2CD9">
              <w:rPr>
                <w:color w:val="000000"/>
              </w:rPr>
              <w:t>Кения (Республика), Уганда (Республика), Руандийская Республика, Танзания (Объединенная Республика)</w:t>
            </w:r>
          </w:p>
        </w:tc>
      </w:tr>
      <w:tr w:rsidR="000F33D8" w:rsidRPr="002A2CD9">
        <w:trPr>
          <w:cantSplit/>
        </w:trPr>
        <w:tc>
          <w:tcPr>
            <w:tcW w:w="10031" w:type="dxa"/>
            <w:gridSpan w:val="2"/>
          </w:tcPr>
          <w:p w:rsidR="000F33D8" w:rsidRPr="002A2CD9" w:rsidRDefault="00F60325" w:rsidP="00F60325">
            <w:pPr>
              <w:pStyle w:val="Title1"/>
            </w:pPr>
            <w:bookmarkStart w:id="5" w:name="dtitle1" w:colFirst="0" w:colLast="0"/>
            <w:bookmarkEnd w:id="4"/>
            <w:r w:rsidRPr="002A2CD9">
              <w:t>Предложения для работы конференции</w:t>
            </w:r>
          </w:p>
        </w:tc>
      </w:tr>
      <w:tr w:rsidR="000F33D8" w:rsidRPr="002A2CD9">
        <w:trPr>
          <w:cantSplit/>
        </w:trPr>
        <w:tc>
          <w:tcPr>
            <w:tcW w:w="10031" w:type="dxa"/>
            <w:gridSpan w:val="2"/>
          </w:tcPr>
          <w:p w:rsidR="000F33D8" w:rsidRPr="002A2CD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A2CD9">
        <w:trPr>
          <w:cantSplit/>
        </w:trPr>
        <w:tc>
          <w:tcPr>
            <w:tcW w:w="10031" w:type="dxa"/>
            <w:gridSpan w:val="2"/>
          </w:tcPr>
          <w:p w:rsidR="000F33D8" w:rsidRPr="002A2CD9" w:rsidRDefault="000F33D8" w:rsidP="009B705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A2CD9">
              <w:rPr>
                <w:lang w:val="ru-RU"/>
              </w:rPr>
              <w:t>Пункт 1</w:t>
            </w:r>
            <w:r w:rsidR="009B7054" w:rsidRPr="002A2CD9">
              <w:rPr>
                <w:lang w:val="ru-RU"/>
              </w:rPr>
              <w:t>0</w:t>
            </w:r>
            <w:r w:rsidRPr="002A2CD9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9B7054" w:rsidRPr="002A2CD9" w:rsidRDefault="009B7054" w:rsidP="00A10B77">
      <w:pPr>
        <w:pStyle w:val="Normalaftertitle"/>
      </w:pPr>
      <w:r w:rsidRPr="002A2CD9">
        <w:t>10</w:t>
      </w:r>
      <w:r w:rsidRPr="002A2CD9">
        <w:tab/>
        <w:t xml:space="preserve">рекомендовать Совету пункты для включения в повестку дня следующей </w:t>
      </w:r>
      <w:proofErr w:type="spellStart"/>
      <w:r w:rsidRPr="002A2CD9">
        <w:t>ВКР</w:t>
      </w:r>
      <w:proofErr w:type="spellEnd"/>
      <w:r w:rsidRPr="002A2CD9">
        <w:t xml:space="preserve"> и представить свои соображения в отношении предварительной повестки</w:t>
      </w:r>
      <w:bookmarkStart w:id="8" w:name="_GoBack"/>
      <w:bookmarkEnd w:id="8"/>
      <w:r w:rsidRPr="002A2CD9">
        <w:t xml:space="preserve"> дня последующей конференции и в отношении возможных пунктов повесток дня будущих конференций, в соответствии со Статьей </w:t>
      </w:r>
      <w:r w:rsidRPr="002A2CD9">
        <w:rPr>
          <w:b/>
          <w:bCs/>
        </w:rPr>
        <w:t>7</w:t>
      </w:r>
      <w:r w:rsidRPr="002A2CD9">
        <w:t xml:space="preserve"> Конвенции.</w:t>
      </w:r>
    </w:p>
    <w:p w:rsidR="00C85743" w:rsidRPr="002A2CD9" w:rsidRDefault="00C85743" w:rsidP="00C85743">
      <w:pPr>
        <w:pStyle w:val="Headingb"/>
        <w:rPr>
          <w:lang w:val="ru-RU"/>
        </w:rPr>
      </w:pPr>
      <w:r w:rsidRPr="002A2CD9">
        <w:rPr>
          <w:lang w:val="ru-RU"/>
        </w:rPr>
        <w:t>Введение</w:t>
      </w:r>
    </w:p>
    <w:p w:rsidR="00C85743" w:rsidRPr="002A2CD9" w:rsidRDefault="00C85743" w:rsidP="00422B16">
      <w:pPr>
        <w:rPr>
          <w:szCs w:val="24"/>
        </w:rPr>
      </w:pPr>
      <w:r w:rsidRPr="002A2CD9">
        <w:rPr>
          <w:szCs w:val="24"/>
        </w:rPr>
        <w:t xml:space="preserve">При разработке </w:t>
      </w:r>
      <w:r w:rsidR="009B7054" w:rsidRPr="002A2CD9">
        <w:rPr>
          <w:szCs w:val="24"/>
        </w:rPr>
        <w:t xml:space="preserve">пунктов </w:t>
      </w:r>
      <w:r w:rsidRPr="002A2CD9">
        <w:rPr>
          <w:szCs w:val="24"/>
        </w:rPr>
        <w:t>нов</w:t>
      </w:r>
      <w:r w:rsidR="009B7054" w:rsidRPr="002A2CD9">
        <w:rPr>
          <w:szCs w:val="24"/>
        </w:rPr>
        <w:t>ой</w:t>
      </w:r>
      <w:r w:rsidRPr="002A2CD9">
        <w:rPr>
          <w:szCs w:val="24"/>
        </w:rPr>
        <w:t xml:space="preserve"> повестки дня </w:t>
      </w:r>
      <w:proofErr w:type="spellStart"/>
      <w:r w:rsidRPr="002A2CD9">
        <w:rPr>
          <w:szCs w:val="24"/>
        </w:rPr>
        <w:t>ВКР</w:t>
      </w:r>
      <w:proofErr w:type="spellEnd"/>
      <w:r w:rsidRPr="002A2CD9">
        <w:rPr>
          <w:szCs w:val="24"/>
        </w:rPr>
        <w:t xml:space="preserve"> пять восточноафриканских стран (</w:t>
      </w:r>
      <w:proofErr w:type="spellStart"/>
      <w:r w:rsidRPr="002A2CD9">
        <w:rPr>
          <w:szCs w:val="24"/>
        </w:rPr>
        <w:t>EACO</w:t>
      </w:r>
      <w:proofErr w:type="spellEnd"/>
      <w:r w:rsidRPr="002A2CD9">
        <w:rPr>
          <w:szCs w:val="24"/>
        </w:rPr>
        <w:t>), а именно Бурунди, Кения, Руанда, Танзания и Уганда поддерживают "</w:t>
      </w:r>
      <w:r w:rsidRPr="002A2CD9">
        <w:rPr>
          <w:color w:val="000000"/>
        </w:rPr>
        <w:t xml:space="preserve">Принципы разработки </w:t>
      </w:r>
      <w:r w:rsidR="003F0657" w:rsidRPr="002A2CD9">
        <w:rPr>
          <w:color w:val="000000"/>
        </w:rPr>
        <w:t>повест</w:t>
      </w:r>
      <w:r w:rsidR="00422B16" w:rsidRPr="002A2CD9">
        <w:rPr>
          <w:color w:val="000000"/>
        </w:rPr>
        <w:t>ок</w:t>
      </w:r>
      <w:r w:rsidR="003F0657" w:rsidRPr="002A2CD9">
        <w:rPr>
          <w:color w:val="000000"/>
        </w:rPr>
        <w:t xml:space="preserve"> дня</w:t>
      </w:r>
      <w:r w:rsidRPr="002A2CD9">
        <w:rPr>
          <w:color w:val="000000"/>
        </w:rPr>
        <w:t xml:space="preserve"> следующ</w:t>
      </w:r>
      <w:r w:rsidR="00422B16" w:rsidRPr="002A2CD9">
        <w:rPr>
          <w:color w:val="000000"/>
        </w:rPr>
        <w:t>их</w:t>
      </w:r>
      <w:r w:rsidRPr="002A2CD9">
        <w:rPr>
          <w:color w:val="000000"/>
        </w:rPr>
        <w:t xml:space="preserve"> </w:t>
      </w:r>
      <w:proofErr w:type="spellStart"/>
      <w:r w:rsidRPr="002A2CD9">
        <w:rPr>
          <w:color w:val="000000"/>
        </w:rPr>
        <w:t>ВКР</w:t>
      </w:r>
      <w:proofErr w:type="spellEnd"/>
      <w:r w:rsidRPr="002A2CD9">
        <w:rPr>
          <w:color w:val="000000"/>
        </w:rPr>
        <w:t>"</w:t>
      </w:r>
      <w:r w:rsidRPr="002A2CD9">
        <w:rPr>
          <w:szCs w:val="24"/>
        </w:rPr>
        <w:t>. Соответственно, страны</w:t>
      </w:r>
      <w:r w:rsidR="00A10B77" w:rsidRPr="002A2CD9">
        <w:rPr>
          <w:szCs w:val="24"/>
        </w:rPr>
        <w:t xml:space="preserve"> − </w:t>
      </w:r>
      <w:r w:rsidRPr="002A2CD9">
        <w:rPr>
          <w:szCs w:val="24"/>
        </w:rPr>
        <w:t xml:space="preserve">члены </w:t>
      </w:r>
      <w:proofErr w:type="spellStart"/>
      <w:r w:rsidRPr="002A2CD9">
        <w:rPr>
          <w:szCs w:val="24"/>
        </w:rPr>
        <w:t>EACO</w:t>
      </w:r>
      <w:proofErr w:type="spellEnd"/>
      <w:r w:rsidRPr="002A2CD9">
        <w:rPr>
          <w:szCs w:val="24"/>
        </w:rPr>
        <w:t xml:space="preserve"> определили полосы частот выше 6 ГГц для рассмотрения и исследования в качестве </w:t>
      </w:r>
      <w:proofErr w:type="spellStart"/>
      <w:r w:rsidRPr="002A2CD9">
        <w:rPr>
          <w:szCs w:val="24"/>
        </w:rPr>
        <w:t>кандидатных</w:t>
      </w:r>
      <w:proofErr w:type="spellEnd"/>
      <w:r w:rsidRPr="002A2CD9">
        <w:rPr>
          <w:szCs w:val="24"/>
        </w:rPr>
        <w:t xml:space="preserve"> полос</w:t>
      </w:r>
      <w:r w:rsidR="003F0657" w:rsidRPr="002A2CD9">
        <w:rPr>
          <w:szCs w:val="24"/>
        </w:rPr>
        <w:t xml:space="preserve"> для </w:t>
      </w:r>
      <w:r w:rsidRPr="002A2CD9">
        <w:rPr>
          <w:szCs w:val="24"/>
        </w:rPr>
        <w:t xml:space="preserve">служб </w:t>
      </w:r>
      <w:proofErr w:type="spellStart"/>
      <w:r w:rsidRPr="002A2CD9">
        <w:rPr>
          <w:szCs w:val="24"/>
        </w:rPr>
        <w:t>IMT</w:t>
      </w:r>
      <w:proofErr w:type="spellEnd"/>
      <w:r w:rsidRPr="002A2CD9">
        <w:rPr>
          <w:szCs w:val="24"/>
        </w:rPr>
        <w:t>.</w:t>
      </w:r>
    </w:p>
    <w:p w:rsidR="00C85743" w:rsidRPr="002A2CD9" w:rsidRDefault="00C85743" w:rsidP="00C85743">
      <w:pPr>
        <w:pStyle w:val="Headingb"/>
        <w:rPr>
          <w:lang w:val="ru-RU"/>
        </w:rPr>
      </w:pPr>
      <w:r w:rsidRPr="002A2CD9">
        <w:rPr>
          <w:lang w:val="ru-RU"/>
        </w:rPr>
        <w:t>Предложение</w:t>
      </w:r>
    </w:p>
    <w:p w:rsidR="00C85743" w:rsidRPr="002A2CD9" w:rsidRDefault="00C85743" w:rsidP="008340ED">
      <w:pPr>
        <w:spacing w:after="120"/>
        <w:rPr>
          <w:szCs w:val="24"/>
        </w:rPr>
      </w:pPr>
      <w:r w:rsidRPr="002A2CD9">
        <w:rPr>
          <w:szCs w:val="24"/>
        </w:rPr>
        <w:t xml:space="preserve">Предлагаются следующие </w:t>
      </w:r>
      <w:proofErr w:type="spellStart"/>
      <w:r w:rsidRPr="002A2CD9">
        <w:rPr>
          <w:szCs w:val="24"/>
        </w:rPr>
        <w:t>кандидатные</w:t>
      </w:r>
      <w:proofErr w:type="spellEnd"/>
      <w:r w:rsidRPr="002A2CD9">
        <w:rPr>
          <w:szCs w:val="24"/>
        </w:rPr>
        <w:t xml:space="preserve"> полосы частот: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977"/>
      </w:tblGrid>
      <w:tr w:rsidR="00C85743" w:rsidRPr="002A2CD9" w:rsidTr="00C85743">
        <w:tc>
          <w:tcPr>
            <w:tcW w:w="846" w:type="dxa"/>
          </w:tcPr>
          <w:p w:rsidR="00C85743" w:rsidRPr="002A2CD9" w:rsidRDefault="008340ED" w:rsidP="00A10B77">
            <w:pPr>
              <w:pStyle w:val="Tablehead"/>
              <w:rPr>
                <w:lang w:val="ru-RU"/>
              </w:rPr>
            </w:pPr>
            <w:r w:rsidRPr="002A2CD9">
              <w:rPr>
                <w:lang w:val="ru-RU"/>
              </w:rPr>
              <w:t>№</w:t>
            </w:r>
          </w:p>
        </w:tc>
        <w:tc>
          <w:tcPr>
            <w:tcW w:w="2693" w:type="dxa"/>
          </w:tcPr>
          <w:p w:rsidR="00C85743" w:rsidRPr="002A2CD9" w:rsidRDefault="008340ED" w:rsidP="00A10B77">
            <w:pPr>
              <w:pStyle w:val="Tablehead"/>
              <w:rPr>
                <w:lang w:val="ru-RU"/>
              </w:rPr>
            </w:pPr>
            <w:r w:rsidRPr="002A2CD9">
              <w:rPr>
                <w:lang w:val="ru-RU"/>
              </w:rPr>
              <w:t>Нижняя полоса (ГГц)</w:t>
            </w:r>
          </w:p>
        </w:tc>
        <w:tc>
          <w:tcPr>
            <w:tcW w:w="2977" w:type="dxa"/>
          </w:tcPr>
          <w:p w:rsidR="00C85743" w:rsidRPr="002A2CD9" w:rsidRDefault="008340ED" w:rsidP="00A10B77">
            <w:pPr>
              <w:pStyle w:val="Tablehead"/>
              <w:rPr>
                <w:lang w:val="ru-RU"/>
              </w:rPr>
            </w:pPr>
            <w:r w:rsidRPr="002A2CD9">
              <w:rPr>
                <w:lang w:val="ru-RU"/>
              </w:rPr>
              <w:t>Верхняя полоса (ГГц)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head"/>
              <w:rPr>
                <w:lang w:val="ru-RU"/>
              </w:rPr>
            </w:pPr>
            <w:r w:rsidRPr="002A2CD9">
              <w:rPr>
                <w:lang w:val="ru-RU"/>
              </w:rPr>
              <w:t>Ширина полосы (МГц)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1</w:t>
            </w:r>
          </w:p>
        </w:tc>
        <w:tc>
          <w:tcPr>
            <w:tcW w:w="2693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8,</w:t>
            </w:r>
            <w:r w:rsidR="00C85743" w:rsidRPr="002A2CD9">
              <w:t>50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10,</w:t>
            </w:r>
            <w:r w:rsidR="00C85743" w:rsidRPr="002A2CD9">
              <w:t>00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1</w:t>
            </w:r>
            <w:r w:rsidR="00A10B77" w:rsidRPr="002A2CD9">
              <w:t xml:space="preserve"> </w:t>
            </w:r>
            <w:r w:rsidRPr="002A2CD9">
              <w:t>500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2</w:t>
            </w:r>
          </w:p>
        </w:tc>
        <w:tc>
          <w:tcPr>
            <w:tcW w:w="2693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15</w:t>
            </w:r>
            <w:r w:rsidR="008340ED" w:rsidRPr="002A2CD9">
              <w:t>,</w:t>
            </w:r>
            <w:r w:rsidRPr="002A2CD9">
              <w:t>63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17,</w:t>
            </w:r>
            <w:r w:rsidR="00C85743" w:rsidRPr="002A2CD9">
              <w:t>30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1</w:t>
            </w:r>
            <w:r w:rsidR="008340ED" w:rsidRPr="002A2CD9">
              <w:t xml:space="preserve"> </w:t>
            </w:r>
            <w:r w:rsidRPr="002A2CD9">
              <w:t>670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3</w:t>
            </w:r>
          </w:p>
        </w:tc>
        <w:tc>
          <w:tcPr>
            <w:tcW w:w="2693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31,</w:t>
            </w:r>
            <w:r w:rsidR="00C85743" w:rsidRPr="002A2CD9">
              <w:t>8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33,</w:t>
            </w:r>
            <w:r w:rsidR="00C85743" w:rsidRPr="002A2CD9">
              <w:t>40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1</w:t>
            </w:r>
            <w:r w:rsidR="008340ED" w:rsidRPr="002A2CD9">
              <w:t xml:space="preserve"> </w:t>
            </w:r>
            <w:r w:rsidRPr="002A2CD9">
              <w:t>600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4</w:t>
            </w:r>
          </w:p>
        </w:tc>
        <w:tc>
          <w:tcPr>
            <w:tcW w:w="2693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40,</w:t>
            </w:r>
            <w:r w:rsidR="00C85743" w:rsidRPr="002A2CD9">
              <w:t>50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43,</w:t>
            </w:r>
            <w:r w:rsidR="00C85743" w:rsidRPr="002A2CD9">
              <w:t>5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3</w:t>
            </w:r>
            <w:r w:rsidR="008340ED" w:rsidRPr="002A2CD9">
              <w:t xml:space="preserve"> </w:t>
            </w:r>
            <w:r w:rsidRPr="002A2CD9">
              <w:t>000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5</w:t>
            </w:r>
          </w:p>
        </w:tc>
        <w:tc>
          <w:tcPr>
            <w:tcW w:w="2693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45,</w:t>
            </w:r>
            <w:r w:rsidR="00C85743" w:rsidRPr="002A2CD9">
              <w:t>5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48,</w:t>
            </w:r>
            <w:r w:rsidR="00C85743" w:rsidRPr="002A2CD9">
              <w:t>50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3</w:t>
            </w:r>
            <w:r w:rsidR="008340ED" w:rsidRPr="002A2CD9">
              <w:t xml:space="preserve"> </w:t>
            </w:r>
            <w:r w:rsidRPr="002A2CD9">
              <w:t>000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6</w:t>
            </w:r>
          </w:p>
        </w:tc>
        <w:tc>
          <w:tcPr>
            <w:tcW w:w="2693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47,</w:t>
            </w:r>
            <w:r w:rsidR="00C85743" w:rsidRPr="002A2CD9">
              <w:t>2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50,</w:t>
            </w:r>
            <w:r w:rsidR="00C85743" w:rsidRPr="002A2CD9">
              <w:t>2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3</w:t>
            </w:r>
            <w:r w:rsidR="008340ED" w:rsidRPr="002A2CD9">
              <w:t xml:space="preserve"> </w:t>
            </w:r>
            <w:r w:rsidRPr="002A2CD9">
              <w:t>000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7</w:t>
            </w:r>
          </w:p>
        </w:tc>
        <w:tc>
          <w:tcPr>
            <w:tcW w:w="2693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50,</w:t>
            </w:r>
            <w:r w:rsidR="00C85743" w:rsidRPr="002A2CD9">
              <w:t>4</w:t>
            </w:r>
          </w:p>
        </w:tc>
        <w:tc>
          <w:tcPr>
            <w:tcW w:w="2977" w:type="dxa"/>
          </w:tcPr>
          <w:p w:rsidR="00C85743" w:rsidRPr="002A2CD9" w:rsidRDefault="008340ED" w:rsidP="008340ED">
            <w:pPr>
              <w:pStyle w:val="Tabletext"/>
              <w:jc w:val="center"/>
            </w:pPr>
            <w:r w:rsidRPr="002A2CD9">
              <w:t>52,</w:t>
            </w:r>
            <w:r w:rsidR="00C85743" w:rsidRPr="002A2CD9">
              <w:t>6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2</w:t>
            </w:r>
            <w:r w:rsidR="008340ED" w:rsidRPr="002A2CD9">
              <w:t xml:space="preserve"> </w:t>
            </w:r>
            <w:r w:rsidRPr="002A2CD9">
              <w:t>200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8</w:t>
            </w:r>
          </w:p>
        </w:tc>
        <w:tc>
          <w:tcPr>
            <w:tcW w:w="2693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66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71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5</w:t>
            </w:r>
            <w:r w:rsidR="008340ED" w:rsidRPr="002A2CD9">
              <w:t xml:space="preserve"> </w:t>
            </w:r>
            <w:r w:rsidRPr="002A2CD9">
              <w:t>000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9</w:t>
            </w:r>
          </w:p>
        </w:tc>
        <w:tc>
          <w:tcPr>
            <w:tcW w:w="2693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71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76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5</w:t>
            </w:r>
            <w:r w:rsidR="008340ED" w:rsidRPr="002A2CD9">
              <w:t xml:space="preserve"> </w:t>
            </w:r>
            <w:r w:rsidRPr="002A2CD9">
              <w:t>000</w:t>
            </w:r>
          </w:p>
        </w:tc>
      </w:tr>
      <w:tr w:rsidR="00C85743" w:rsidRPr="002A2CD9" w:rsidTr="00C85743">
        <w:tc>
          <w:tcPr>
            <w:tcW w:w="846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10</w:t>
            </w:r>
          </w:p>
        </w:tc>
        <w:tc>
          <w:tcPr>
            <w:tcW w:w="2693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81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86</w:t>
            </w:r>
          </w:p>
        </w:tc>
        <w:tc>
          <w:tcPr>
            <w:tcW w:w="2977" w:type="dxa"/>
          </w:tcPr>
          <w:p w:rsidR="00C85743" w:rsidRPr="002A2CD9" w:rsidRDefault="00C85743" w:rsidP="008340ED">
            <w:pPr>
              <w:pStyle w:val="Tabletext"/>
              <w:jc w:val="center"/>
            </w:pPr>
            <w:r w:rsidRPr="002A2CD9">
              <w:t>5</w:t>
            </w:r>
            <w:r w:rsidR="008340ED" w:rsidRPr="002A2CD9">
              <w:t xml:space="preserve"> </w:t>
            </w:r>
            <w:r w:rsidRPr="002A2CD9">
              <w:t>000</w:t>
            </w:r>
          </w:p>
        </w:tc>
      </w:tr>
    </w:tbl>
    <w:p w:rsidR="00A10B77" w:rsidRPr="002A2CD9" w:rsidRDefault="00A10B77" w:rsidP="0017449E">
      <w:pPr>
        <w:pStyle w:val="Normalend"/>
        <w:spacing w:before="480"/>
        <w:jc w:val="center"/>
        <w:rPr>
          <w:lang w:val="ru-RU"/>
        </w:rPr>
      </w:pPr>
      <w:r w:rsidRPr="002A2CD9">
        <w:rPr>
          <w:lang w:val="ru-RU"/>
        </w:rPr>
        <w:t>_______________</w:t>
      </w:r>
    </w:p>
    <w:p w:rsidR="00F175DD" w:rsidRPr="002A2CD9" w:rsidRDefault="00F175DD" w:rsidP="00F175DD">
      <w:pPr>
        <w:jc w:val="center"/>
      </w:pPr>
    </w:p>
    <w:sectPr w:rsidR="00F175DD" w:rsidRPr="002A2CD9" w:rsidSect="00F175D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54" w:rsidRDefault="009B7054">
      <w:r>
        <w:separator/>
      </w:r>
    </w:p>
  </w:endnote>
  <w:endnote w:type="continuationSeparator" w:id="0">
    <w:p w:rsidR="009B7054" w:rsidRDefault="009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54" w:rsidRDefault="009B70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7054" w:rsidRPr="002A2CD9" w:rsidRDefault="009B7054">
    <w:pPr>
      <w:ind w:right="360"/>
      <w:rPr>
        <w:lang w:val="en-GB"/>
      </w:rPr>
    </w:pPr>
    <w:r>
      <w:fldChar w:fldCharType="begin"/>
    </w:r>
    <w:r w:rsidRPr="002A2CD9">
      <w:rPr>
        <w:lang w:val="en-GB"/>
      </w:rPr>
      <w:instrText xml:space="preserve"> FILENAME \p  \* MERGEFORMAT </w:instrText>
    </w:r>
    <w:r>
      <w:fldChar w:fldCharType="separate"/>
    </w:r>
    <w:r w:rsidR="002A2CD9" w:rsidRPr="002A2CD9">
      <w:rPr>
        <w:noProof/>
        <w:lang w:val="en-GB"/>
      </w:rPr>
      <w:t>P:\RUS\ITU-R\CONF-R\CMR15\000\085ADD24R.docx</w:t>
    </w:r>
    <w:r>
      <w:fldChar w:fldCharType="end"/>
    </w:r>
    <w:r w:rsidRPr="002A2CD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2CD9">
      <w:rPr>
        <w:noProof/>
      </w:rPr>
      <w:t>12.11.15</w:t>
    </w:r>
    <w:r>
      <w:fldChar w:fldCharType="end"/>
    </w:r>
    <w:r w:rsidRPr="002A2CD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2CD9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54" w:rsidRDefault="009B7054" w:rsidP="00DE2EBA">
    <w:pPr>
      <w:pStyle w:val="Footer"/>
    </w:pPr>
    <w:r>
      <w:fldChar w:fldCharType="begin"/>
    </w:r>
    <w:r w:rsidRPr="002A2CD9">
      <w:instrText xml:space="preserve"> FILENAME \p  \* MERGEFORMAT </w:instrText>
    </w:r>
    <w:r>
      <w:fldChar w:fldCharType="separate"/>
    </w:r>
    <w:r w:rsidR="002A2CD9" w:rsidRPr="002A2CD9">
      <w:t>P:\RUS\ITU-R\CONF-R\CMR15\000\085ADD24R.docx</w:t>
    </w:r>
    <w:r>
      <w:fldChar w:fldCharType="end"/>
    </w:r>
    <w:r w:rsidRPr="002A2CD9">
      <w:t xml:space="preserve"> (388682)</w:t>
    </w:r>
    <w:r w:rsidRPr="002A2CD9">
      <w:tab/>
    </w:r>
    <w:r>
      <w:fldChar w:fldCharType="begin"/>
    </w:r>
    <w:r>
      <w:instrText xml:space="preserve"> SAVEDATE \@ DD.MM.YY </w:instrText>
    </w:r>
    <w:r>
      <w:fldChar w:fldCharType="separate"/>
    </w:r>
    <w:r w:rsidR="002A2CD9">
      <w:t>12.11.15</w:t>
    </w:r>
    <w:r>
      <w:fldChar w:fldCharType="end"/>
    </w:r>
    <w:r w:rsidRPr="002A2CD9">
      <w:tab/>
    </w:r>
    <w:r>
      <w:fldChar w:fldCharType="begin"/>
    </w:r>
    <w:r>
      <w:instrText xml:space="preserve"> PRINTDATE \@ DD.MM.YY </w:instrText>
    </w:r>
    <w:r>
      <w:fldChar w:fldCharType="separate"/>
    </w:r>
    <w:r w:rsidR="002A2CD9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54" w:rsidRPr="002A2CD9" w:rsidRDefault="009B7054" w:rsidP="002A2CD9">
    <w:pPr>
      <w:pStyle w:val="Footer"/>
    </w:pPr>
    <w:r>
      <w:fldChar w:fldCharType="begin"/>
    </w:r>
    <w:r w:rsidRPr="002A2CD9">
      <w:instrText xml:space="preserve"> FILENAME \p  \* MERGEFORMAT </w:instrText>
    </w:r>
    <w:r>
      <w:fldChar w:fldCharType="separate"/>
    </w:r>
    <w:r w:rsidR="002A2CD9" w:rsidRPr="002A2CD9">
      <w:t>P:\RUS\ITU-R\CONF-R\CMR15\000\085ADD24R.docx</w:t>
    </w:r>
    <w:r>
      <w:fldChar w:fldCharType="end"/>
    </w:r>
    <w:r w:rsidRPr="002A2CD9">
      <w:t xml:space="preserve"> (</w:t>
    </w:r>
    <w:r w:rsidR="002A2CD9" w:rsidRPr="002A2CD9">
      <w:t>390085</w:t>
    </w:r>
    <w:r w:rsidRPr="002A2CD9">
      <w:t>)</w:t>
    </w:r>
    <w:r w:rsidRPr="002A2CD9">
      <w:tab/>
    </w:r>
    <w:r>
      <w:fldChar w:fldCharType="begin"/>
    </w:r>
    <w:r>
      <w:instrText xml:space="preserve"> SAVEDATE \@ DD.MM.YY </w:instrText>
    </w:r>
    <w:r>
      <w:fldChar w:fldCharType="separate"/>
    </w:r>
    <w:r w:rsidR="002A2CD9">
      <w:t>12.11.15</w:t>
    </w:r>
    <w:r>
      <w:fldChar w:fldCharType="end"/>
    </w:r>
    <w:r w:rsidRPr="002A2CD9">
      <w:tab/>
    </w:r>
    <w:r>
      <w:fldChar w:fldCharType="begin"/>
    </w:r>
    <w:r>
      <w:instrText xml:space="preserve"> PRINTDATE \@ DD.MM.YY </w:instrText>
    </w:r>
    <w:r>
      <w:fldChar w:fldCharType="separate"/>
    </w:r>
    <w:r w:rsidR="002A2CD9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54" w:rsidRDefault="009B7054">
      <w:r>
        <w:rPr>
          <w:b/>
        </w:rPr>
        <w:t>_______________</w:t>
      </w:r>
    </w:p>
  </w:footnote>
  <w:footnote w:type="continuationSeparator" w:id="0">
    <w:p w:rsidR="009B7054" w:rsidRDefault="009B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54" w:rsidRPr="00434A7C" w:rsidRDefault="009B705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2CD9">
      <w:rPr>
        <w:noProof/>
      </w:rPr>
      <w:t>2</w:t>
    </w:r>
    <w:r>
      <w:fldChar w:fldCharType="end"/>
    </w:r>
  </w:p>
  <w:p w:rsidR="009B7054" w:rsidRDefault="009B7054" w:rsidP="008340ED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/8</w:t>
    </w:r>
    <w:r w:rsidR="008340ED">
      <w:rPr>
        <w:lang w:val="ru-RU"/>
      </w:rPr>
      <w:t>5(</w:t>
    </w:r>
    <w:proofErr w:type="spellStart"/>
    <w:r w:rsidR="008340ED">
      <w:rPr>
        <w:lang w:val="fr-CH"/>
      </w:rPr>
      <w:t>Add.24</w:t>
    </w:r>
    <w:proofErr w:type="spellEnd"/>
    <w:r w:rsidR="008340ED">
      <w:rPr>
        <w:lang w:val="en-US"/>
      </w:rPr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01610AA"/>
    <w:multiLevelType w:val="hybridMultilevel"/>
    <w:tmpl w:val="92A8C062"/>
    <w:lvl w:ilvl="0" w:tplc="44503A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30C2C"/>
    <w:multiLevelType w:val="multilevel"/>
    <w:tmpl w:val="6C764A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3DC0"/>
    <w:rsid w:val="001A5585"/>
    <w:rsid w:val="001E5FB4"/>
    <w:rsid w:val="00202CA0"/>
    <w:rsid w:val="00220C54"/>
    <w:rsid w:val="00230582"/>
    <w:rsid w:val="002449AA"/>
    <w:rsid w:val="00245A1F"/>
    <w:rsid w:val="00256DA1"/>
    <w:rsid w:val="00287880"/>
    <w:rsid w:val="00290C74"/>
    <w:rsid w:val="002A2CD9"/>
    <w:rsid w:val="002A2D3F"/>
    <w:rsid w:val="00300F84"/>
    <w:rsid w:val="00344EB8"/>
    <w:rsid w:val="00346BEC"/>
    <w:rsid w:val="003C583C"/>
    <w:rsid w:val="003F0078"/>
    <w:rsid w:val="003F0657"/>
    <w:rsid w:val="00422B16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6C95"/>
    <w:rsid w:val="00597005"/>
    <w:rsid w:val="005A295E"/>
    <w:rsid w:val="005B0414"/>
    <w:rsid w:val="005D1879"/>
    <w:rsid w:val="005D79A3"/>
    <w:rsid w:val="005E61DD"/>
    <w:rsid w:val="005E7023"/>
    <w:rsid w:val="006023DF"/>
    <w:rsid w:val="006115BE"/>
    <w:rsid w:val="00614771"/>
    <w:rsid w:val="00620DD7"/>
    <w:rsid w:val="00657DE0"/>
    <w:rsid w:val="00692C06"/>
    <w:rsid w:val="006A6E9B"/>
    <w:rsid w:val="00742C1F"/>
    <w:rsid w:val="00763F4F"/>
    <w:rsid w:val="00775720"/>
    <w:rsid w:val="007917AE"/>
    <w:rsid w:val="007A08B5"/>
    <w:rsid w:val="00811633"/>
    <w:rsid w:val="00812452"/>
    <w:rsid w:val="00815749"/>
    <w:rsid w:val="008340ED"/>
    <w:rsid w:val="00872FC8"/>
    <w:rsid w:val="008B43F2"/>
    <w:rsid w:val="008C3257"/>
    <w:rsid w:val="009119CC"/>
    <w:rsid w:val="00917C0A"/>
    <w:rsid w:val="00921E32"/>
    <w:rsid w:val="00941A02"/>
    <w:rsid w:val="009B5CC2"/>
    <w:rsid w:val="009B7054"/>
    <w:rsid w:val="009E5FC8"/>
    <w:rsid w:val="00A007DC"/>
    <w:rsid w:val="00A10B7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5B5"/>
    <w:rsid w:val="00A93BA0"/>
    <w:rsid w:val="00A97EC0"/>
    <w:rsid w:val="00AC66E6"/>
    <w:rsid w:val="00B12837"/>
    <w:rsid w:val="00B15502"/>
    <w:rsid w:val="00B468A6"/>
    <w:rsid w:val="00B75113"/>
    <w:rsid w:val="00BA13A4"/>
    <w:rsid w:val="00BA1AA1"/>
    <w:rsid w:val="00BA35DC"/>
    <w:rsid w:val="00BC5313"/>
    <w:rsid w:val="00C20466"/>
    <w:rsid w:val="00C20549"/>
    <w:rsid w:val="00C266F4"/>
    <w:rsid w:val="00C324A8"/>
    <w:rsid w:val="00C53743"/>
    <w:rsid w:val="00C56E7A"/>
    <w:rsid w:val="00C779CE"/>
    <w:rsid w:val="00C85743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175DD"/>
    <w:rsid w:val="00F21A03"/>
    <w:rsid w:val="00F60325"/>
    <w:rsid w:val="00F65C19"/>
    <w:rsid w:val="00F761D2"/>
    <w:rsid w:val="00F97203"/>
    <w:rsid w:val="00FA74F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BFA8AA5-F5BC-4672-A508-CA830146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10B7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10B7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10B7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10B7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10B7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10B7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10B7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10B7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10B7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A10B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0B77"/>
  </w:style>
  <w:style w:type="paragraph" w:customStyle="1" w:styleId="Source">
    <w:name w:val="Source"/>
    <w:basedOn w:val="Normal"/>
    <w:next w:val="Normal"/>
    <w:link w:val="SourceChar"/>
    <w:rsid w:val="00A10B7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10B7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A10B7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10B7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A10B7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A10B7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10B7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A10B7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A10B7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10B7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A10B7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10B7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A10B77"/>
  </w:style>
  <w:style w:type="character" w:customStyle="1" w:styleId="AppendixNoCar">
    <w:name w:val="Appendix_No Car"/>
    <w:basedOn w:val="DefaultParagraphFont"/>
    <w:link w:val="AppendixNo"/>
    <w:locked/>
    <w:rsid w:val="00A10B7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A10B77"/>
    <w:rPr>
      <w:lang w:val="en-GB"/>
    </w:rPr>
  </w:style>
  <w:style w:type="paragraph" w:customStyle="1" w:styleId="Appendixref">
    <w:name w:val="Appendix_ref"/>
    <w:basedOn w:val="Annexref"/>
    <w:next w:val="Annextitle"/>
    <w:rsid w:val="00A10B77"/>
  </w:style>
  <w:style w:type="paragraph" w:customStyle="1" w:styleId="Appendixtitle">
    <w:name w:val="Appendix_title"/>
    <w:basedOn w:val="Annextitle"/>
    <w:next w:val="Normal"/>
    <w:link w:val="AppendixtitleChar"/>
    <w:rsid w:val="00A10B77"/>
  </w:style>
  <w:style w:type="character" w:customStyle="1" w:styleId="AppendixtitleChar">
    <w:name w:val="Appendix_title Char"/>
    <w:basedOn w:val="AnnextitleChar1"/>
    <w:link w:val="Appendixtitle"/>
    <w:locked/>
    <w:rsid w:val="00A10B7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A10B7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10B7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10B7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10B7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A10B7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A10B7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10B7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A10B77"/>
    <w:rPr>
      <w:lang w:val="en-US"/>
    </w:rPr>
  </w:style>
  <w:style w:type="paragraph" w:customStyle="1" w:styleId="Booktitle">
    <w:name w:val="Book_title"/>
    <w:basedOn w:val="Normal"/>
    <w:qFormat/>
    <w:rsid w:val="00A10B7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A10B7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A10B7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A10B7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A10B7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A10B7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10B7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10B77"/>
  </w:style>
  <w:style w:type="character" w:customStyle="1" w:styleId="ChaptitleChar">
    <w:name w:val="Chap_title Char"/>
    <w:basedOn w:val="DefaultParagraphFont"/>
    <w:link w:val="Chaptitle"/>
    <w:locked/>
    <w:rsid w:val="00A10B7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A10B7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10B7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A10B7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10B7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10B7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10B77"/>
    <w:pPr>
      <w:ind w:left="2268" w:hanging="397"/>
    </w:pPr>
  </w:style>
  <w:style w:type="paragraph" w:customStyle="1" w:styleId="Equation">
    <w:name w:val="Equation"/>
    <w:basedOn w:val="Normal"/>
    <w:link w:val="EquationChar"/>
    <w:rsid w:val="00A10B7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10B7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A10B77"/>
    <w:pPr>
      <w:ind w:left="1134"/>
    </w:pPr>
  </w:style>
  <w:style w:type="paragraph" w:customStyle="1" w:styleId="Equationlegend">
    <w:name w:val="Equation_legend"/>
    <w:basedOn w:val="NormalIndent"/>
    <w:rsid w:val="00A10B7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A10B77"/>
    <w:pPr>
      <w:keepNext/>
      <w:keepLines/>
      <w:jc w:val="center"/>
    </w:pPr>
  </w:style>
  <w:style w:type="paragraph" w:customStyle="1" w:styleId="Figurelegend">
    <w:name w:val="Figure_legend"/>
    <w:basedOn w:val="Normal"/>
    <w:rsid w:val="00A10B7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A10B7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10B7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10B7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10B7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10B7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10B7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10B7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A10B7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10B7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10B7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A10B7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A10B7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10B7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10B7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A10B7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A10B7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10B7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A10B7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10B7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10B7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A10B7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A10B7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10B7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10B77"/>
  </w:style>
  <w:style w:type="paragraph" w:styleId="Index2">
    <w:name w:val="index 2"/>
    <w:basedOn w:val="Normal"/>
    <w:next w:val="Normal"/>
    <w:rsid w:val="00A10B77"/>
    <w:pPr>
      <w:ind w:left="283"/>
    </w:pPr>
  </w:style>
  <w:style w:type="paragraph" w:styleId="Index3">
    <w:name w:val="index 3"/>
    <w:basedOn w:val="Normal"/>
    <w:next w:val="Normal"/>
    <w:rsid w:val="00A10B77"/>
    <w:pPr>
      <w:ind w:left="566"/>
    </w:pPr>
  </w:style>
  <w:style w:type="paragraph" w:styleId="Index4">
    <w:name w:val="index 4"/>
    <w:basedOn w:val="Normal"/>
    <w:next w:val="Normal"/>
    <w:rsid w:val="00A10B77"/>
    <w:pPr>
      <w:ind w:left="849"/>
    </w:pPr>
  </w:style>
  <w:style w:type="paragraph" w:styleId="Index5">
    <w:name w:val="index 5"/>
    <w:basedOn w:val="Normal"/>
    <w:next w:val="Normal"/>
    <w:rsid w:val="00A10B77"/>
    <w:pPr>
      <w:ind w:left="1132"/>
    </w:pPr>
  </w:style>
  <w:style w:type="paragraph" w:styleId="Index6">
    <w:name w:val="index 6"/>
    <w:basedOn w:val="Normal"/>
    <w:next w:val="Normal"/>
    <w:rsid w:val="00A10B77"/>
    <w:pPr>
      <w:ind w:left="1415"/>
    </w:pPr>
  </w:style>
  <w:style w:type="paragraph" w:styleId="Index7">
    <w:name w:val="index 7"/>
    <w:basedOn w:val="Normal"/>
    <w:next w:val="Normal"/>
    <w:rsid w:val="00A10B77"/>
    <w:pPr>
      <w:ind w:left="1698"/>
    </w:pPr>
  </w:style>
  <w:style w:type="paragraph" w:styleId="IndexHeading">
    <w:name w:val="index heading"/>
    <w:basedOn w:val="Normal"/>
    <w:next w:val="Index1"/>
    <w:rsid w:val="00A10B77"/>
  </w:style>
  <w:style w:type="character" w:styleId="LineNumber">
    <w:name w:val="line number"/>
    <w:basedOn w:val="DefaultParagraphFont"/>
    <w:rsid w:val="00A10B7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A10B7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10B7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A10B7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10B7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A10B77"/>
    <w:rPr>
      <w:rFonts w:cs="Times New Roman"/>
    </w:rPr>
  </w:style>
  <w:style w:type="paragraph" w:customStyle="1" w:styleId="PartNo">
    <w:name w:val="Part_No"/>
    <w:basedOn w:val="AnnexNo"/>
    <w:next w:val="Normal"/>
    <w:rsid w:val="00A10B77"/>
  </w:style>
  <w:style w:type="paragraph" w:customStyle="1" w:styleId="Partref">
    <w:name w:val="Part_ref"/>
    <w:basedOn w:val="Annexref"/>
    <w:next w:val="Normal"/>
    <w:rsid w:val="00A10B77"/>
  </w:style>
  <w:style w:type="paragraph" w:customStyle="1" w:styleId="Parttitle">
    <w:name w:val="Part_title"/>
    <w:basedOn w:val="Annextitle"/>
    <w:next w:val="Normalaftertitle"/>
    <w:rsid w:val="00A10B77"/>
  </w:style>
  <w:style w:type="paragraph" w:customStyle="1" w:styleId="Proposal">
    <w:name w:val="Proposal"/>
    <w:basedOn w:val="Normal"/>
    <w:next w:val="Normal"/>
    <w:link w:val="ProposalChar"/>
    <w:rsid w:val="00A10B7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A10B7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A10B7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10B7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A10B7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A10B7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10B7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10B77"/>
  </w:style>
  <w:style w:type="paragraph" w:customStyle="1" w:styleId="QuestionNo">
    <w:name w:val="Question_No"/>
    <w:basedOn w:val="RecNo"/>
    <w:next w:val="Normal"/>
    <w:rsid w:val="00A10B77"/>
  </w:style>
  <w:style w:type="paragraph" w:customStyle="1" w:styleId="Questionref">
    <w:name w:val="Question_ref"/>
    <w:basedOn w:val="Recref"/>
    <w:next w:val="Questiondate"/>
    <w:rsid w:val="00A10B77"/>
  </w:style>
  <w:style w:type="paragraph" w:customStyle="1" w:styleId="Questiontitle">
    <w:name w:val="Question_title"/>
    <w:basedOn w:val="Rectitle"/>
    <w:next w:val="Questionref"/>
    <w:rsid w:val="00A10B77"/>
  </w:style>
  <w:style w:type="paragraph" w:customStyle="1" w:styleId="Reasons">
    <w:name w:val="Reasons"/>
    <w:basedOn w:val="Normal"/>
    <w:link w:val="ReasonsChar"/>
    <w:rsid w:val="00A10B7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10B7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A10B77"/>
    <w:rPr>
      <w:rFonts w:cs="Times New Roman"/>
      <w:b/>
    </w:rPr>
  </w:style>
  <w:style w:type="paragraph" w:customStyle="1" w:styleId="Reftext">
    <w:name w:val="Ref_text"/>
    <w:basedOn w:val="Normal"/>
    <w:rsid w:val="00A10B77"/>
    <w:pPr>
      <w:ind w:left="1134" w:hanging="1134"/>
    </w:pPr>
  </w:style>
  <w:style w:type="paragraph" w:customStyle="1" w:styleId="Reftitle">
    <w:name w:val="Ref_title"/>
    <w:basedOn w:val="Normal"/>
    <w:next w:val="Reftext"/>
    <w:rsid w:val="00A10B7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10B77"/>
  </w:style>
  <w:style w:type="paragraph" w:customStyle="1" w:styleId="RepNo">
    <w:name w:val="Rep_No"/>
    <w:basedOn w:val="RecNo"/>
    <w:next w:val="Normal"/>
    <w:rsid w:val="00A10B77"/>
  </w:style>
  <w:style w:type="paragraph" w:customStyle="1" w:styleId="Repref">
    <w:name w:val="Rep_ref"/>
    <w:basedOn w:val="Recref"/>
    <w:next w:val="Repdate"/>
    <w:rsid w:val="00A10B77"/>
  </w:style>
  <w:style w:type="paragraph" w:customStyle="1" w:styleId="Reptitle">
    <w:name w:val="Rep_title"/>
    <w:basedOn w:val="Rectitle"/>
    <w:next w:val="Repref"/>
    <w:rsid w:val="00A10B77"/>
  </w:style>
  <w:style w:type="paragraph" w:customStyle="1" w:styleId="Resdate">
    <w:name w:val="Res_date"/>
    <w:basedOn w:val="Recdate"/>
    <w:next w:val="Normalaftertitle"/>
    <w:rsid w:val="00A10B77"/>
  </w:style>
  <w:style w:type="character" w:customStyle="1" w:styleId="Resdef">
    <w:name w:val="Res_def"/>
    <w:basedOn w:val="DefaultParagraphFont"/>
    <w:rsid w:val="00A10B7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10B77"/>
  </w:style>
  <w:style w:type="character" w:customStyle="1" w:styleId="ResNoChar">
    <w:name w:val="Res_No Char"/>
    <w:basedOn w:val="DefaultParagraphFont"/>
    <w:link w:val="ResNo"/>
    <w:locked/>
    <w:rsid w:val="00A10B7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A10B77"/>
  </w:style>
  <w:style w:type="paragraph" w:customStyle="1" w:styleId="Restitle">
    <w:name w:val="Res_title"/>
    <w:basedOn w:val="Rectitle"/>
    <w:next w:val="Resref"/>
    <w:link w:val="RestitleChar"/>
    <w:rsid w:val="00A10B77"/>
  </w:style>
  <w:style w:type="character" w:customStyle="1" w:styleId="RestitleChar">
    <w:name w:val="Res_title Char"/>
    <w:basedOn w:val="DefaultParagraphFont"/>
    <w:link w:val="Restitle"/>
    <w:locked/>
    <w:rsid w:val="00A10B7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10B7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10B7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A10B7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10B7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10B7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10B7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A10B77"/>
  </w:style>
  <w:style w:type="paragraph" w:customStyle="1" w:styleId="Sectiontitle">
    <w:name w:val="Section_title"/>
    <w:basedOn w:val="Annextitle"/>
    <w:next w:val="Normalaftertitle"/>
    <w:rsid w:val="00A10B77"/>
  </w:style>
  <w:style w:type="paragraph" w:customStyle="1" w:styleId="SpecialFooter">
    <w:name w:val="Special Footer"/>
    <w:basedOn w:val="Footer"/>
    <w:rsid w:val="00A10B7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A10B77"/>
    <w:rPr>
      <w:lang w:val="en-GB"/>
    </w:rPr>
  </w:style>
  <w:style w:type="table" w:styleId="TableGrid">
    <w:name w:val="Table Grid"/>
    <w:basedOn w:val="TableNormal"/>
    <w:rsid w:val="00A10B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A10B7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A10B7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A10B7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A10B7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A10B7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A10B7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10B7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A10B7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10B7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10B7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10B7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A10B7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10B7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A10B77"/>
    <w:rPr>
      <w:b/>
    </w:rPr>
  </w:style>
  <w:style w:type="paragraph" w:customStyle="1" w:styleId="toc0">
    <w:name w:val="toc 0"/>
    <w:basedOn w:val="Normal"/>
    <w:next w:val="TOC1"/>
    <w:rsid w:val="00A10B7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10B7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10B77"/>
    <w:pPr>
      <w:spacing w:before="120"/>
    </w:pPr>
  </w:style>
  <w:style w:type="paragraph" w:styleId="TOC3">
    <w:name w:val="toc 3"/>
    <w:basedOn w:val="TOC2"/>
    <w:rsid w:val="00A10B77"/>
  </w:style>
  <w:style w:type="paragraph" w:styleId="TOC4">
    <w:name w:val="toc 4"/>
    <w:basedOn w:val="TOC3"/>
    <w:rsid w:val="00A10B77"/>
  </w:style>
  <w:style w:type="paragraph" w:styleId="TOC5">
    <w:name w:val="toc 5"/>
    <w:basedOn w:val="TOC4"/>
    <w:rsid w:val="00A10B77"/>
  </w:style>
  <w:style w:type="paragraph" w:styleId="TOC6">
    <w:name w:val="toc 6"/>
    <w:basedOn w:val="TOC4"/>
    <w:rsid w:val="00A10B77"/>
  </w:style>
  <w:style w:type="paragraph" w:styleId="TOC7">
    <w:name w:val="toc 7"/>
    <w:basedOn w:val="TOC4"/>
    <w:rsid w:val="00A10B77"/>
  </w:style>
  <w:style w:type="paragraph" w:styleId="TOC8">
    <w:name w:val="toc 8"/>
    <w:basedOn w:val="TOC4"/>
    <w:rsid w:val="00A10B77"/>
  </w:style>
  <w:style w:type="paragraph" w:customStyle="1" w:styleId="Volumetitle">
    <w:name w:val="Volume_title"/>
    <w:basedOn w:val="ArtNo"/>
    <w:qFormat/>
    <w:rsid w:val="00A10B7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10B77"/>
  </w:style>
  <w:style w:type="paragraph" w:customStyle="1" w:styleId="AppArtNo">
    <w:name w:val="App_Art_No"/>
    <w:basedOn w:val="ArtNo"/>
    <w:next w:val="AppArttitle"/>
    <w:qFormat/>
    <w:rsid w:val="00A10B77"/>
  </w:style>
  <w:style w:type="paragraph" w:customStyle="1" w:styleId="Part1">
    <w:name w:val="Part_1"/>
    <w:basedOn w:val="Subsection1"/>
    <w:next w:val="Section1"/>
    <w:qFormat/>
    <w:rsid w:val="00A10B77"/>
  </w:style>
  <w:style w:type="paragraph" w:customStyle="1" w:styleId="Committee">
    <w:name w:val="Committee"/>
    <w:basedOn w:val="Normal"/>
    <w:qFormat/>
    <w:rsid w:val="00A10B7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R15-WRC15-C-0089!!MSW-R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E7DB-3A9C-426B-B587-2EF6906BC7F4}">
  <ds:schemaRefs>
    <ds:schemaRef ds:uri="996b2e75-67fd-4955-a3b0-5ab9934cb50b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B02C34-A403-422E-83AA-60A1250B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40</TotalTime>
  <Pages>1</Pages>
  <Words>199</Words>
  <Characters>1127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R15-WRC15-C-0089!!MSW-R</vt:lpstr>
    </vt:vector>
  </TitlesOfParts>
  <Manager>General Secretariat - Pool</Manager>
  <Company>International Telecommunication Union (ITU)</Company>
  <LinksUpToDate>false</LinksUpToDate>
  <CharactersWithSpaces>1266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R15-WRC15-C-0089!!MSW-R</dc:title>
  <dc:subject>World Radiocommunication Conference - 2015</dc:subject>
  <dc:creator>Documents Proposals Manager (DPM)</dc:creator>
  <cp:keywords>DPM_v5.2015.10.22_prod</cp:keywords>
  <dc:description/>
  <cp:lastModifiedBy>Antipina, Nadezda</cp:lastModifiedBy>
  <cp:revision>5</cp:revision>
  <cp:lastPrinted>2015-11-12T17:22:00Z</cp:lastPrinted>
  <dcterms:created xsi:type="dcterms:W3CDTF">2015-11-12T15:40:00Z</dcterms:created>
  <dcterms:modified xsi:type="dcterms:W3CDTF">2015-11-12T17:22:00Z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