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143FA" w:rsidTr="0050008E">
        <w:trPr>
          <w:cantSplit/>
        </w:trPr>
        <w:tc>
          <w:tcPr>
            <w:tcW w:w="6911" w:type="dxa"/>
          </w:tcPr>
          <w:p w:rsidR="009143FA" w:rsidRPr="00E34746" w:rsidRDefault="00E34746" w:rsidP="00E34746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E34746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t>World Radiocommunication Conference (WRC</w:t>
            </w:r>
            <w:r w:rsidR="009143FA" w:rsidRPr="00E34746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t>-15)</w:t>
            </w:r>
            <w:r w:rsidR="009143FA" w:rsidRPr="00E34746">
              <w:rPr>
                <w:rFonts w:ascii="Verdana" w:hAnsi="Verdana" w:cs="Times"/>
                <w:b/>
                <w:position w:val="6"/>
                <w:sz w:val="20"/>
                <w:lang w:val="en-US"/>
              </w:rPr>
              <w:br/>
            </w:r>
            <w:r w:rsidR="008A09A8" w:rsidRPr="00E3474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</w:t>
            </w:r>
            <w:r w:rsidR="009143FA" w:rsidRPr="00E3474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2-27 </w:t>
            </w:r>
            <w:r w:rsidRPr="00E3474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="009143FA" w:rsidRPr="00E3474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2015</w:t>
            </w:r>
          </w:p>
        </w:tc>
        <w:tc>
          <w:tcPr>
            <w:tcW w:w="3120" w:type="dxa"/>
          </w:tcPr>
          <w:p w:rsidR="009143FA" w:rsidRDefault="009143FA" w:rsidP="009143FA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FA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9143FA" w:rsidRPr="009538D2" w:rsidRDefault="00E34746" w:rsidP="009143F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</w:tr>
      <w:tr w:rsidR="009143FA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143FA" w:rsidRPr="00C324A8" w:rsidRDefault="009143FA" w:rsidP="009143F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143FA" w:rsidRPr="00C324A8" w:rsidRDefault="009143FA" w:rsidP="009143F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143FA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9143FA" w:rsidRPr="009143FA" w:rsidRDefault="00E34746" w:rsidP="009143F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SESSION</w:t>
            </w:r>
          </w:p>
        </w:tc>
        <w:tc>
          <w:tcPr>
            <w:tcW w:w="3120" w:type="dxa"/>
          </w:tcPr>
          <w:p w:rsidR="009143FA" w:rsidRPr="009143FA" w:rsidRDefault="009143FA" w:rsidP="00E3474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Document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985555">
              <w:rPr>
                <w:rFonts w:ascii="Verdana" w:hAnsi="Verdana"/>
                <w:b/>
                <w:sz w:val="20"/>
              </w:rPr>
              <w:t>101</w:t>
            </w:r>
            <w:r>
              <w:rPr>
                <w:rFonts w:ascii="Verdana" w:hAnsi="Verdana"/>
                <w:b/>
                <w:sz w:val="20"/>
              </w:rPr>
              <w:t>-</w:t>
            </w:r>
            <w:r w:rsidR="0098555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9143FA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9143FA" w:rsidRPr="00C324A8" w:rsidRDefault="009143FA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143FA" w:rsidRPr="009143FA" w:rsidRDefault="00985555" w:rsidP="00E3474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19 </w:t>
            </w:r>
            <w:proofErr w:type="spellStart"/>
            <w:r>
              <w:rPr>
                <w:rFonts w:ascii="Verdana" w:hAnsi="Verdana"/>
                <w:b/>
                <w:sz w:val="20"/>
              </w:rPr>
              <w:t>October</w:t>
            </w:r>
            <w:proofErr w:type="spellEnd"/>
            <w:r w:rsidR="009143FA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9143FA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9143FA" w:rsidRPr="00C324A8" w:rsidRDefault="009143FA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143FA" w:rsidRPr="009143FA" w:rsidRDefault="009143FA" w:rsidP="00E3474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proofErr w:type="spellStart"/>
            <w:r w:rsidR="00E34746">
              <w:rPr>
                <w:rFonts w:ascii="Verdana" w:hAnsi="Verdana"/>
                <w:b/>
                <w:sz w:val="20"/>
              </w:rPr>
              <w:t>Spanish</w:t>
            </w:r>
            <w:proofErr w:type="spellEnd"/>
          </w:p>
        </w:tc>
      </w:tr>
      <w:tr w:rsidR="009143FA" w:rsidRPr="00BD5CE7" w:rsidTr="0050008E">
        <w:trPr>
          <w:cantSplit/>
        </w:trPr>
        <w:tc>
          <w:tcPr>
            <w:tcW w:w="10031" w:type="dxa"/>
            <w:gridSpan w:val="2"/>
          </w:tcPr>
          <w:p w:rsidR="008741B4" w:rsidRPr="008741B4" w:rsidRDefault="008741B4" w:rsidP="008741B4">
            <w:pPr>
              <w:pStyle w:val="Source"/>
              <w:rPr>
                <w:lang w:val="en-GB"/>
              </w:rPr>
            </w:pPr>
            <w:bookmarkStart w:id="6" w:name="dsource" w:colFirst="0" w:colLast="0"/>
            <w:bookmarkEnd w:id="5"/>
            <w:r>
              <w:rPr>
                <w:lang w:val="en-GB"/>
              </w:rPr>
              <w:t xml:space="preserve">Argentine Republic, Brazil (Federative Republic of), Chile, Cuba, Dominican Republic, Ecuador, Guatemala (Republic of), </w:t>
            </w:r>
            <w:r w:rsidR="00BD5CE7">
              <w:rPr>
                <w:lang w:val="en-GB"/>
              </w:rPr>
              <w:t xml:space="preserve">Honduras (Republic of), </w:t>
            </w:r>
            <w:r w:rsidR="00BD5CE7">
              <w:rPr>
                <w:lang w:val="en-GB"/>
              </w:rPr>
              <w:br/>
            </w:r>
            <w:r>
              <w:rPr>
                <w:lang w:val="en-GB"/>
              </w:rPr>
              <w:t xml:space="preserve">Nicaragua, Panama (Republic of), Paraguay (Republic of), Peru, </w:t>
            </w:r>
            <w:r w:rsidR="00BD5CE7">
              <w:rPr>
                <w:lang w:val="en-GB"/>
              </w:rPr>
              <w:br/>
            </w:r>
            <w:r>
              <w:rPr>
                <w:lang w:val="en-GB"/>
              </w:rPr>
              <w:t>Uruguay (Eastern Republic of), Venezuela (Bolivarian Republic of)</w:t>
            </w:r>
          </w:p>
        </w:tc>
      </w:tr>
      <w:tr w:rsidR="009143FA" w:rsidRPr="00BD5CE7" w:rsidTr="0050008E">
        <w:trPr>
          <w:cantSplit/>
        </w:trPr>
        <w:tc>
          <w:tcPr>
            <w:tcW w:w="10031" w:type="dxa"/>
            <w:gridSpan w:val="2"/>
          </w:tcPr>
          <w:p w:rsidR="009143FA" w:rsidRPr="000827AB" w:rsidRDefault="000827AB" w:rsidP="00C948AE">
            <w:pPr>
              <w:pStyle w:val="Title1"/>
              <w:rPr>
                <w:lang w:val="en-US"/>
              </w:rPr>
            </w:pPr>
            <w:bookmarkStart w:id="7" w:name="dtitle1" w:colFirst="0" w:colLast="0"/>
            <w:bookmarkEnd w:id="6"/>
            <w:r w:rsidRPr="000827AB">
              <w:rPr>
                <w:rFonts w:eastAsia="SimSun"/>
                <w:lang w:val="en-US"/>
              </w:rPr>
              <w:t>PROPOSALS FOR THE WORK OF THE CONFERENCE</w:t>
            </w:r>
          </w:p>
        </w:tc>
      </w:tr>
      <w:tr w:rsidR="009143FA" w:rsidRPr="00BD5CE7" w:rsidTr="0050008E">
        <w:trPr>
          <w:cantSplit/>
        </w:trPr>
        <w:tc>
          <w:tcPr>
            <w:tcW w:w="10031" w:type="dxa"/>
            <w:gridSpan w:val="2"/>
          </w:tcPr>
          <w:p w:rsidR="009143FA" w:rsidRPr="00BD5CE7" w:rsidRDefault="00C948AE" w:rsidP="00C948AE">
            <w:pPr>
              <w:pStyle w:val="Agendaitem"/>
              <w:rPr>
                <w:lang w:val="en-US"/>
              </w:rPr>
            </w:pPr>
            <w:bookmarkStart w:id="8" w:name="dtitle2" w:colFirst="0" w:colLast="0"/>
            <w:bookmarkEnd w:id="7"/>
            <w:r w:rsidRPr="00BD5CE7">
              <w:rPr>
                <w:rFonts w:eastAsia="SimSun"/>
                <w:lang w:val="en-US"/>
              </w:rPr>
              <w:t>A</w:t>
            </w:r>
            <w:r w:rsidR="000827AB" w:rsidRPr="00BD5CE7">
              <w:rPr>
                <w:rFonts w:eastAsia="SimSun"/>
                <w:lang w:val="en-US"/>
              </w:rPr>
              <w:t>genda</w:t>
            </w:r>
            <w:r w:rsidRPr="00BD5CE7">
              <w:rPr>
                <w:rFonts w:eastAsia="SimSun"/>
                <w:lang w:val="en-US"/>
              </w:rPr>
              <w:t xml:space="preserve"> item</w:t>
            </w:r>
            <w:r w:rsidR="00C60D5E" w:rsidRPr="00BD5CE7">
              <w:rPr>
                <w:rFonts w:eastAsia="SimSun"/>
                <w:lang w:val="en-US"/>
              </w:rPr>
              <w:t xml:space="preserve"> 1.1</w:t>
            </w:r>
          </w:p>
        </w:tc>
      </w:tr>
      <w:tr w:rsidR="009143FA" w:rsidRPr="00BD5CE7" w:rsidTr="0050008E">
        <w:trPr>
          <w:cantSplit/>
        </w:trPr>
        <w:tc>
          <w:tcPr>
            <w:tcW w:w="10031" w:type="dxa"/>
            <w:gridSpan w:val="2"/>
          </w:tcPr>
          <w:p w:rsidR="009143FA" w:rsidRPr="00BD5CE7" w:rsidRDefault="009143FA" w:rsidP="0050008E">
            <w:pPr>
              <w:pStyle w:val="Title3"/>
              <w:rPr>
                <w:lang w:val="en-US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6C6204" w:rsidRPr="000827AB" w:rsidRDefault="00705531" w:rsidP="00C948AE">
      <w:pPr>
        <w:rPr>
          <w:szCs w:val="24"/>
          <w:lang w:val="en-US"/>
        </w:rPr>
      </w:pPr>
      <w:r w:rsidRPr="006E12CB">
        <w:rPr>
          <w:rStyle w:val="hps"/>
          <w:i/>
          <w:lang w:val="en-US"/>
        </w:rPr>
        <w:t xml:space="preserve">To </w:t>
      </w:r>
      <w:r w:rsidR="000827AB" w:rsidRPr="006E12CB">
        <w:rPr>
          <w:rStyle w:val="hps"/>
          <w:i/>
          <w:lang w:val="en-US"/>
        </w:rPr>
        <w:t>consider additional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spectrum allocations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to the mobile service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on a primary basis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and identif</w:t>
      </w:r>
      <w:r w:rsidRPr="006E12CB">
        <w:rPr>
          <w:rStyle w:val="hps"/>
          <w:i/>
          <w:lang w:val="en-US"/>
        </w:rPr>
        <w:t>ication of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additional frequency</w:t>
      </w:r>
      <w:r w:rsidR="000827AB" w:rsidRPr="006E12CB">
        <w:rPr>
          <w:lang w:val="en-US"/>
        </w:rPr>
        <w:t xml:space="preserve"> </w:t>
      </w:r>
      <w:r w:rsidRPr="006E12CB">
        <w:rPr>
          <w:rStyle w:val="hps"/>
          <w:i/>
          <w:lang w:val="en-US"/>
        </w:rPr>
        <w:t>bands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for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International Mobile Telecommunications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(IMT</w:t>
      </w:r>
      <w:r w:rsidR="000827AB" w:rsidRPr="006E12CB">
        <w:rPr>
          <w:lang w:val="en-US"/>
        </w:rPr>
        <w:t xml:space="preserve">) </w:t>
      </w:r>
      <w:r w:rsidR="000827AB" w:rsidRPr="006E12CB">
        <w:rPr>
          <w:rStyle w:val="hps"/>
          <w:i/>
          <w:lang w:val="en-US"/>
        </w:rPr>
        <w:t>and related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regulatory provisions,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to facilitate the development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of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terrestrial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mobile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broadband applications</w:t>
      </w:r>
      <w:r w:rsidR="000827AB" w:rsidRPr="006E12CB">
        <w:rPr>
          <w:lang w:val="en-US"/>
        </w:rPr>
        <w:t xml:space="preserve">, </w:t>
      </w:r>
      <w:r w:rsidR="000827AB" w:rsidRPr="006E12CB">
        <w:rPr>
          <w:rStyle w:val="hps"/>
          <w:i/>
          <w:lang w:val="en-US"/>
        </w:rPr>
        <w:t>in accordance</w:t>
      </w:r>
      <w:r w:rsidR="000827AB" w:rsidRPr="006E12CB">
        <w:rPr>
          <w:lang w:val="en-US"/>
        </w:rPr>
        <w:t xml:space="preserve"> </w:t>
      </w:r>
      <w:r w:rsidR="000827AB" w:rsidRPr="006E12CB">
        <w:rPr>
          <w:rStyle w:val="hps"/>
          <w:i/>
          <w:lang w:val="en-US"/>
        </w:rPr>
        <w:t>with Resolution</w:t>
      </w:r>
      <w:r w:rsidR="000827AB" w:rsidRPr="000827AB">
        <w:rPr>
          <w:b/>
          <w:bCs/>
          <w:szCs w:val="24"/>
          <w:lang w:val="en-US"/>
        </w:rPr>
        <w:t xml:space="preserve"> </w:t>
      </w:r>
      <w:r w:rsidR="006C6204" w:rsidRPr="000827AB">
        <w:rPr>
          <w:b/>
          <w:bCs/>
          <w:szCs w:val="24"/>
          <w:lang w:val="en-US"/>
        </w:rPr>
        <w:t>233 (</w:t>
      </w:r>
      <w:r w:rsidR="000827AB" w:rsidRPr="000827AB">
        <w:rPr>
          <w:b/>
          <w:bCs/>
          <w:szCs w:val="24"/>
          <w:lang w:val="en-US"/>
        </w:rPr>
        <w:t>WRC</w:t>
      </w:r>
      <w:r w:rsidR="006C6204" w:rsidRPr="000827AB">
        <w:rPr>
          <w:b/>
          <w:bCs/>
          <w:szCs w:val="24"/>
          <w:lang w:val="en-US"/>
        </w:rPr>
        <w:t>-12)</w:t>
      </w:r>
      <w:r w:rsidR="006C6204" w:rsidRPr="000827AB">
        <w:rPr>
          <w:szCs w:val="24"/>
          <w:lang w:val="en-US"/>
        </w:rPr>
        <w:t xml:space="preserve">; </w:t>
      </w:r>
    </w:p>
    <w:p w:rsidR="006C6204" w:rsidRPr="000827AB" w:rsidRDefault="006C6204" w:rsidP="006C6204">
      <w:pPr>
        <w:tabs>
          <w:tab w:val="clear" w:pos="2268"/>
          <w:tab w:val="left" w:pos="426"/>
        </w:tabs>
        <w:ind w:left="425"/>
        <w:jc w:val="both"/>
        <w:rPr>
          <w:i/>
          <w:szCs w:val="24"/>
          <w:lang w:val="en-US"/>
        </w:rPr>
      </w:pPr>
      <w:bookmarkStart w:id="10" w:name="_Toc327956582"/>
    </w:p>
    <w:p w:rsidR="006C6204" w:rsidRPr="006E12CB" w:rsidRDefault="000F117F" w:rsidP="000F117F">
      <w:pPr>
        <w:tabs>
          <w:tab w:val="clear" w:pos="2268"/>
          <w:tab w:val="left" w:pos="0"/>
        </w:tabs>
        <w:jc w:val="both"/>
        <w:rPr>
          <w:b/>
          <w:szCs w:val="24"/>
          <w:lang w:val="en-US"/>
        </w:rPr>
      </w:pPr>
      <w:r w:rsidRPr="006E12CB">
        <w:rPr>
          <w:b/>
          <w:szCs w:val="24"/>
          <w:lang w:val="en-US"/>
        </w:rPr>
        <w:t xml:space="preserve">BAND </w:t>
      </w:r>
      <w:r w:rsidR="006C6204" w:rsidRPr="006E12CB">
        <w:rPr>
          <w:b/>
          <w:szCs w:val="24"/>
          <w:lang w:val="en-US"/>
        </w:rPr>
        <w:t>470-698 MHz</w:t>
      </w:r>
    </w:p>
    <w:p w:rsidR="006C6204" w:rsidRPr="006E12CB" w:rsidRDefault="006C6204" w:rsidP="006C6204">
      <w:pPr>
        <w:tabs>
          <w:tab w:val="clear" w:pos="2268"/>
          <w:tab w:val="left" w:pos="0"/>
        </w:tabs>
        <w:jc w:val="both"/>
        <w:rPr>
          <w:b/>
          <w:szCs w:val="24"/>
          <w:lang w:val="en-US"/>
        </w:rPr>
      </w:pPr>
    </w:p>
    <w:p w:rsidR="006C6204" w:rsidRPr="006E12CB" w:rsidRDefault="00C948AE" w:rsidP="00C948AE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6C6204" w:rsidRPr="00C77D41" w:rsidRDefault="00C00895" w:rsidP="00C948AE">
      <w:pPr>
        <w:rPr>
          <w:szCs w:val="24"/>
          <w:lang w:val="en-US"/>
        </w:rPr>
      </w:pPr>
      <w:r w:rsidRPr="00C77D41">
        <w:rPr>
          <w:rStyle w:val="hps"/>
          <w:lang w:val="en-US"/>
        </w:rPr>
        <w:t>When looking</w:t>
      </w:r>
      <w:r w:rsidRPr="00C77D41">
        <w:rPr>
          <w:lang w:val="en-US"/>
        </w:rPr>
        <w:t xml:space="preserve"> </w:t>
      </w:r>
      <w:r w:rsidR="00C77D41" w:rsidRPr="00C77D41">
        <w:rPr>
          <w:lang w:val="en-US"/>
        </w:rPr>
        <w:t xml:space="preserve">for </w:t>
      </w:r>
      <w:r w:rsidRPr="00C77D41">
        <w:rPr>
          <w:rStyle w:val="hps"/>
          <w:lang w:val="en-US"/>
        </w:rPr>
        <w:t>new spectrum</w:t>
      </w:r>
      <w:r w:rsidRPr="00C77D41">
        <w:rPr>
          <w:lang w:val="en-US"/>
        </w:rPr>
        <w:t xml:space="preserve"> </w:t>
      </w:r>
      <w:r w:rsidR="00C77D41" w:rsidRPr="00C77D41">
        <w:rPr>
          <w:rStyle w:val="hps"/>
          <w:lang w:val="en-US"/>
        </w:rPr>
        <w:t>to allocate</w:t>
      </w:r>
      <w:r w:rsidR="00C77D41"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to the mobile service</w:t>
      </w:r>
      <w:r w:rsidRPr="00C77D41">
        <w:rPr>
          <w:lang w:val="en-US"/>
        </w:rPr>
        <w:t xml:space="preserve">, </w:t>
      </w:r>
      <w:r w:rsidR="00C77D41" w:rsidRPr="00C77D41">
        <w:rPr>
          <w:lang w:val="en-US"/>
        </w:rPr>
        <w:t>it is necessary to</w:t>
      </w:r>
      <w:r w:rsidRPr="00C77D41">
        <w:rPr>
          <w:lang w:val="en-US"/>
        </w:rPr>
        <w:t xml:space="preserve"> protect </w:t>
      </w:r>
      <w:r w:rsidRPr="00C77D41">
        <w:rPr>
          <w:rStyle w:val="hps"/>
          <w:lang w:val="en-US"/>
        </w:rPr>
        <w:t>the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Broadcasting Service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as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expressed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in Resolution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233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(WRC</w:t>
      </w:r>
      <w:r w:rsidRPr="00C77D41">
        <w:rPr>
          <w:lang w:val="en-US"/>
        </w:rPr>
        <w:t xml:space="preserve">-12) </w:t>
      </w:r>
      <w:r w:rsidRPr="00C77D41">
        <w:rPr>
          <w:rStyle w:val="hps"/>
          <w:lang w:val="en-US"/>
        </w:rPr>
        <w:t>in which</w:t>
      </w:r>
      <w:r w:rsidRPr="00C77D41">
        <w:rPr>
          <w:lang w:val="en-US"/>
        </w:rPr>
        <w:t xml:space="preserve"> </w:t>
      </w:r>
      <w:r w:rsidRPr="00C77D41">
        <w:rPr>
          <w:rStyle w:val="hps"/>
          <w:lang w:val="en-US"/>
        </w:rPr>
        <w:t>it is considered</w:t>
      </w:r>
      <w:r w:rsidRPr="00C77D41">
        <w:rPr>
          <w:szCs w:val="24"/>
          <w:lang w:val="en-US"/>
        </w:rPr>
        <w:t xml:space="preserve"> </w:t>
      </w:r>
      <w:r w:rsidR="006C6204" w:rsidRPr="00C77D41">
        <w:rPr>
          <w:szCs w:val="24"/>
          <w:lang w:val="en-US"/>
        </w:rPr>
        <w:t>"</w:t>
      </w:r>
      <w:r w:rsidR="006C6204" w:rsidRPr="00C77D41">
        <w:rPr>
          <w:i/>
          <w:szCs w:val="24"/>
          <w:lang w:val="en-US"/>
        </w:rPr>
        <w:t xml:space="preserve">m) </w:t>
      </w:r>
      <w:r w:rsidRPr="00C77D41">
        <w:rPr>
          <w:i/>
          <w:szCs w:val="24"/>
          <w:lang w:val="en-US"/>
        </w:rPr>
        <w:t>t</w:t>
      </w:r>
      <w:r w:rsidR="00705531" w:rsidRPr="00C77D41">
        <w:rPr>
          <w:i/>
          <w:szCs w:val="24"/>
          <w:lang w:val="en-US" w:eastAsia="es-AR"/>
        </w:rPr>
        <w:t xml:space="preserve">he need to protect existing services when considering frequency </w:t>
      </w:r>
      <w:r w:rsidR="00705531" w:rsidRPr="00705531">
        <w:rPr>
          <w:i/>
          <w:szCs w:val="24"/>
          <w:lang w:val="en-US" w:eastAsia="es-AR"/>
        </w:rPr>
        <w:t xml:space="preserve">bands for possible additional </w:t>
      </w:r>
      <w:r w:rsidRPr="00C77D41">
        <w:rPr>
          <w:i/>
          <w:szCs w:val="24"/>
          <w:lang w:val="en-US" w:eastAsia="es-AR"/>
        </w:rPr>
        <w:t>a</w:t>
      </w:r>
      <w:r w:rsidR="00705531" w:rsidRPr="00705531">
        <w:rPr>
          <w:i/>
          <w:szCs w:val="24"/>
          <w:lang w:val="en-US" w:eastAsia="es-AR"/>
        </w:rPr>
        <w:t>llocations to any service</w:t>
      </w:r>
      <w:r w:rsidR="006C6204" w:rsidRPr="00C77D41">
        <w:rPr>
          <w:szCs w:val="24"/>
          <w:lang w:val="en-US"/>
        </w:rPr>
        <w:t>"</w:t>
      </w:r>
      <w:r w:rsidR="006C6204" w:rsidRPr="00C77D41">
        <w:rPr>
          <w:i/>
          <w:szCs w:val="24"/>
          <w:lang w:val="en-US"/>
        </w:rPr>
        <w:t xml:space="preserve"> </w:t>
      </w:r>
      <w:r w:rsidR="006C6204" w:rsidRPr="00C77D41">
        <w:rPr>
          <w:szCs w:val="24"/>
          <w:lang w:val="en-US"/>
        </w:rPr>
        <w:t xml:space="preserve">; </w:t>
      </w:r>
      <w:r w:rsidRPr="00C77D41">
        <w:rPr>
          <w:szCs w:val="24"/>
          <w:lang w:val="en-US"/>
        </w:rPr>
        <w:t>and recognizes</w:t>
      </w:r>
      <w:r w:rsidR="006C6204" w:rsidRPr="00C77D41">
        <w:rPr>
          <w:szCs w:val="24"/>
          <w:lang w:val="en-US"/>
        </w:rPr>
        <w:t xml:space="preserve"> "</w:t>
      </w:r>
      <w:r w:rsidR="006C6204" w:rsidRPr="00C77D41">
        <w:rPr>
          <w:i/>
          <w:szCs w:val="24"/>
          <w:lang w:val="en-US"/>
        </w:rPr>
        <w:t xml:space="preserve">e) </w:t>
      </w:r>
      <w:r w:rsidR="00C77D41" w:rsidRPr="00EB5CF8">
        <w:rPr>
          <w:i/>
          <w:szCs w:val="24"/>
          <w:lang w:val="en-US" w:eastAsia="es-AR"/>
        </w:rPr>
        <w:t xml:space="preserve">the use of relevant parts of the spectrum by other Radiocommunication </w:t>
      </w:r>
      <w:r w:rsidR="00C77D41" w:rsidRPr="00C77D41">
        <w:rPr>
          <w:i/>
          <w:szCs w:val="24"/>
          <w:lang w:val="en-US" w:eastAsia="es-AR"/>
        </w:rPr>
        <w:t>services, many of which involve significant investment in infrastructure or represent significant societal benefit, and the evolving needs of these services</w:t>
      </w:r>
      <w:r w:rsidR="006C6204" w:rsidRPr="00C77D41">
        <w:rPr>
          <w:i/>
          <w:szCs w:val="24"/>
          <w:lang w:val="en-US"/>
        </w:rPr>
        <w:t>.</w:t>
      </w:r>
      <w:r w:rsidR="006C6204" w:rsidRPr="00C77D41">
        <w:rPr>
          <w:szCs w:val="24"/>
          <w:lang w:val="en-US"/>
        </w:rPr>
        <w:t>"</w:t>
      </w:r>
    </w:p>
    <w:p w:rsidR="006C6204" w:rsidRPr="00EB5CF8" w:rsidRDefault="00EB5CF8" w:rsidP="008741B4">
      <w:pPr>
        <w:rPr>
          <w:szCs w:val="24"/>
          <w:lang w:val="en-US"/>
        </w:rPr>
      </w:pPr>
      <w:r w:rsidRPr="006E12CB">
        <w:rPr>
          <w:rStyle w:val="hps"/>
          <w:lang w:val="en-US"/>
        </w:rPr>
        <w:t xml:space="preserve">With </w:t>
      </w:r>
      <w:r w:rsidR="007441B0" w:rsidRPr="006E12CB">
        <w:rPr>
          <w:rStyle w:val="hps"/>
          <w:lang w:val="en-US"/>
        </w:rPr>
        <w:t xml:space="preserve">very </w:t>
      </w:r>
      <w:r w:rsidRPr="006E12CB">
        <w:rPr>
          <w:rStyle w:val="hps"/>
          <w:lang w:val="en-US"/>
        </w:rPr>
        <w:t>few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exceptions, countries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in Region 2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are still debating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their first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Digital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Dividend.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Some countries are already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 xml:space="preserve">migrating </w:t>
      </w:r>
      <w:r w:rsidRPr="006E12CB">
        <w:rPr>
          <w:rStyle w:val="hps"/>
          <w:lang w:val="en-US"/>
        </w:rPr>
        <w:lastRenderedPageBreak/>
        <w:t>from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analogue to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digital technology,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others have</w:t>
      </w:r>
      <w:r w:rsidRPr="006E12CB">
        <w:rPr>
          <w:lang w:val="en-US"/>
        </w:rPr>
        <w:t xml:space="preserve"> not </w:t>
      </w:r>
      <w:r w:rsidRPr="006E12CB">
        <w:rPr>
          <w:rStyle w:val="hps"/>
          <w:lang w:val="en-US"/>
        </w:rPr>
        <w:t>yet begun</w:t>
      </w:r>
      <w:r w:rsidRPr="006E12CB">
        <w:rPr>
          <w:lang w:val="en-US"/>
        </w:rPr>
        <w:t xml:space="preserve"> </w:t>
      </w:r>
      <w:r w:rsidRPr="006E12CB">
        <w:rPr>
          <w:rStyle w:val="hps"/>
          <w:lang w:val="en-US"/>
        </w:rPr>
        <w:t>their migration process</w:t>
      </w:r>
      <w:r w:rsidR="007441B0" w:rsidRPr="006E12CB">
        <w:rPr>
          <w:rStyle w:val="hps"/>
          <w:lang w:val="en-US"/>
        </w:rPr>
        <w:t>es</w:t>
      </w:r>
      <w:r w:rsidR="006C6204" w:rsidRPr="00EB5CF8">
        <w:rPr>
          <w:szCs w:val="24"/>
          <w:lang w:val="en-US"/>
        </w:rPr>
        <w:t>.</w:t>
      </w:r>
    </w:p>
    <w:p w:rsidR="006C6204" w:rsidRPr="00EB5CF8" w:rsidRDefault="00EB5CF8" w:rsidP="00C948AE">
      <w:pPr>
        <w:rPr>
          <w:lang w:val="en-US"/>
        </w:rPr>
      </w:pPr>
      <w:r w:rsidRPr="006E12CB">
        <w:rPr>
          <w:lang w:val="en-US" w:eastAsia="es-AR"/>
        </w:rPr>
        <w:t xml:space="preserve">The remaining segment of </w:t>
      </w:r>
      <w:proofErr w:type="spellStart"/>
      <w:r w:rsidRPr="006E12CB">
        <w:rPr>
          <w:lang w:val="en-US" w:eastAsia="es-AR"/>
        </w:rPr>
        <w:t>decimet</w:t>
      </w:r>
      <w:r w:rsidR="002965B1" w:rsidRPr="006E12CB">
        <w:rPr>
          <w:lang w:val="en-US" w:eastAsia="es-AR"/>
        </w:rPr>
        <w:t>ric</w:t>
      </w:r>
      <w:proofErr w:type="spellEnd"/>
      <w:r w:rsidRPr="006E12CB">
        <w:rPr>
          <w:lang w:val="en-US" w:eastAsia="es-AR"/>
        </w:rPr>
        <w:t xml:space="preserve"> wave - 470-698 MHz - after </w:t>
      </w:r>
      <w:r w:rsidR="008D2E67" w:rsidRPr="006E12CB">
        <w:rPr>
          <w:lang w:val="en-US" w:eastAsia="es-AR"/>
        </w:rPr>
        <w:t>defining the</w:t>
      </w:r>
      <w:r w:rsidRPr="006E12CB">
        <w:rPr>
          <w:lang w:val="en-US" w:eastAsia="es-AR"/>
        </w:rPr>
        <w:t xml:space="preserve"> release of the digital dividend will be the unique and essential band available to ensure the future of FTA DTTV, while there are many other bands available for </w:t>
      </w:r>
      <w:r w:rsidR="002965B1" w:rsidRPr="006E12CB">
        <w:rPr>
          <w:lang w:val="en-US" w:eastAsia="es-AR"/>
        </w:rPr>
        <w:t xml:space="preserve">its </w:t>
      </w:r>
      <w:r w:rsidRPr="006E12CB">
        <w:rPr>
          <w:lang w:val="en-US" w:eastAsia="es-AR"/>
        </w:rPr>
        <w:t xml:space="preserve">use by mobile </w:t>
      </w:r>
      <w:r w:rsidR="008D2E67" w:rsidRPr="006E12CB">
        <w:rPr>
          <w:lang w:val="en-US" w:eastAsia="es-AR"/>
        </w:rPr>
        <w:t xml:space="preserve">broadband </w:t>
      </w:r>
      <w:r w:rsidRPr="006E12CB">
        <w:rPr>
          <w:lang w:val="en-US" w:eastAsia="es-AR"/>
        </w:rPr>
        <w:t>services</w:t>
      </w:r>
      <w:r w:rsidR="006C6204" w:rsidRPr="00EB5CF8">
        <w:rPr>
          <w:lang w:val="en-US"/>
        </w:rPr>
        <w:t>.</w:t>
      </w:r>
    </w:p>
    <w:p w:rsidR="006C6204" w:rsidRPr="00B80C1F" w:rsidRDefault="00B80C1F" w:rsidP="00C948AE">
      <w:pPr>
        <w:rPr>
          <w:lang w:val="en-US"/>
        </w:rPr>
      </w:pPr>
      <w:r w:rsidRPr="008741B4">
        <w:rPr>
          <w:rStyle w:val="hps"/>
          <w:szCs w:val="24"/>
          <w:lang w:val="en-GB"/>
        </w:rPr>
        <w:t>The investments that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the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broadcasting industry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has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done and will do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for digitization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are remarkable an</w:t>
      </w:r>
      <w:bookmarkStart w:id="11" w:name="_GoBack"/>
      <w:bookmarkEnd w:id="11"/>
      <w:r w:rsidRPr="008741B4">
        <w:rPr>
          <w:rStyle w:val="hps"/>
          <w:szCs w:val="24"/>
          <w:lang w:val="en-GB"/>
        </w:rPr>
        <w:t>d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are supported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by long-term planning</w:t>
      </w:r>
      <w:r w:rsidRPr="008741B4">
        <w:rPr>
          <w:lang w:val="en-GB"/>
        </w:rPr>
        <w:t xml:space="preserve"> </w:t>
      </w:r>
      <w:r w:rsidRPr="008741B4">
        <w:rPr>
          <w:rStyle w:val="hps"/>
          <w:szCs w:val="24"/>
          <w:lang w:val="en-GB"/>
        </w:rPr>
        <w:t>yields</w:t>
      </w:r>
      <w:r w:rsidR="006C6204" w:rsidRPr="00B80C1F">
        <w:rPr>
          <w:lang w:val="en-US"/>
        </w:rPr>
        <w:t xml:space="preserve">. </w:t>
      </w:r>
    </w:p>
    <w:p w:rsidR="006C6204" w:rsidRPr="006E12CB" w:rsidRDefault="00C948AE" w:rsidP="00C948AE">
      <w:pPr>
        <w:pStyle w:val="Headingb"/>
        <w:rPr>
          <w:lang w:val="en-US"/>
        </w:rPr>
      </w:pPr>
      <w:r>
        <w:rPr>
          <w:lang w:val="en-US"/>
        </w:rPr>
        <w:t>Proposal</w:t>
      </w:r>
    </w:p>
    <w:bookmarkEnd w:id="10"/>
    <w:p w:rsidR="006C6204" w:rsidRPr="008741B4" w:rsidRDefault="008741B4" w:rsidP="008741B4">
      <w:pPr>
        <w:pStyle w:val="Proposal"/>
        <w:rPr>
          <w:lang w:val="en-US"/>
        </w:rPr>
      </w:pPr>
      <w:r w:rsidRPr="008741B4">
        <w:rPr>
          <w:u w:val="single"/>
          <w:lang w:val="en-US"/>
        </w:rPr>
        <w:t>NOC</w:t>
      </w:r>
      <w:r w:rsidRPr="008741B4">
        <w:rPr>
          <w:lang w:val="en-US"/>
        </w:rPr>
        <w:tab/>
        <w:t>ARG/B/CHL/CUB/DOM/EQA/GTM/HND/NCG/PNR/PRG/PRU/URG/VEN/101/1</w:t>
      </w:r>
    </w:p>
    <w:p w:rsidR="006C6204" w:rsidRPr="006E12CB" w:rsidRDefault="00B80C1F" w:rsidP="00C948AE">
      <w:pPr>
        <w:pStyle w:val="ArtNo"/>
        <w:rPr>
          <w:lang w:val="en-US"/>
        </w:rPr>
      </w:pPr>
      <w:r w:rsidRPr="006E12CB">
        <w:rPr>
          <w:lang w:val="en-US"/>
        </w:rPr>
        <w:t>ARTICLE</w:t>
      </w:r>
      <w:r w:rsidR="006C6204" w:rsidRPr="006E12CB">
        <w:rPr>
          <w:lang w:val="en-US"/>
        </w:rPr>
        <w:t xml:space="preserve"> </w:t>
      </w:r>
      <w:r w:rsidR="006C6204" w:rsidRPr="004D6F32">
        <w:rPr>
          <w:rStyle w:val="href"/>
          <w:bCs/>
          <w:color w:val="000000"/>
          <w:szCs w:val="24"/>
          <w:lang w:val="en-US"/>
        </w:rPr>
        <w:t>5</w:t>
      </w:r>
    </w:p>
    <w:p w:rsidR="006C6204" w:rsidRPr="006E12CB" w:rsidRDefault="001C2DAF" w:rsidP="004D6F32">
      <w:pPr>
        <w:pStyle w:val="Arttitle"/>
        <w:rPr>
          <w:lang w:val="en-US"/>
        </w:rPr>
      </w:pPr>
      <w:r>
        <w:rPr>
          <w:lang w:val="en-US"/>
        </w:rPr>
        <w:t>Fre</w:t>
      </w:r>
      <w:r w:rsidR="00B80C1F" w:rsidRPr="006E12CB">
        <w:rPr>
          <w:lang w:val="en-US"/>
        </w:rPr>
        <w:t xml:space="preserve">quency </w:t>
      </w:r>
      <w:r w:rsidR="00B80C1F" w:rsidRPr="00BD5CE7">
        <w:rPr>
          <w:lang w:val="en-US"/>
        </w:rPr>
        <w:t>Allocations</w:t>
      </w:r>
    </w:p>
    <w:p w:rsidR="006C6204" w:rsidRPr="00B80C1F" w:rsidRDefault="00B80C1F" w:rsidP="00C948AE">
      <w:pPr>
        <w:pStyle w:val="Section1"/>
        <w:rPr>
          <w:lang w:val="en-US"/>
        </w:rPr>
      </w:pPr>
      <w:r w:rsidRPr="00B80C1F">
        <w:rPr>
          <w:lang w:val="en-US"/>
        </w:rPr>
        <w:t>Section</w:t>
      </w:r>
      <w:r w:rsidR="006C6204" w:rsidRPr="00B80C1F">
        <w:rPr>
          <w:lang w:val="en-US"/>
        </w:rPr>
        <w:t xml:space="preserve"> IV – </w:t>
      </w:r>
      <w:r w:rsidR="001C2DAF">
        <w:rPr>
          <w:lang w:val="en-US"/>
        </w:rPr>
        <w:t>Table of Fre</w:t>
      </w:r>
      <w:r w:rsidRPr="00B80C1F">
        <w:rPr>
          <w:lang w:val="en-US"/>
        </w:rPr>
        <w:t>quency Allocations</w:t>
      </w:r>
    </w:p>
    <w:p w:rsidR="006C6204" w:rsidRPr="006C6204" w:rsidRDefault="006C6204" w:rsidP="006C6204">
      <w:pPr>
        <w:spacing w:before="0"/>
        <w:jc w:val="center"/>
        <w:rPr>
          <w:b/>
          <w:szCs w:val="24"/>
          <w:lang w:val="es-UY"/>
        </w:rPr>
      </w:pPr>
      <w:r w:rsidRPr="004D6F32">
        <w:rPr>
          <w:bCs/>
          <w:szCs w:val="24"/>
          <w:lang w:val="es-UY"/>
        </w:rPr>
        <w:t>(</w:t>
      </w:r>
      <w:proofErr w:type="spellStart"/>
      <w:r w:rsidR="00B80C1F" w:rsidRPr="004D6F32">
        <w:rPr>
          <w:bCs/>
          <w:szCs w:val="24"/>
          <w:lang w:val="es-UY"/>
        </w:rPr>
        <w:t>See</w:t>
      </w:r>
      <w:proofErr w:type="spellEnd"/>
      <w:r w:rsidRPr="004D6F32">
        <w:rPr>
          <w:bCs/>
          <w:szCs w:val="24"/>
          <w:lang w:val="es-UY"/>
        </w:rPr>
        <w:t xml:space="preserve"> No.</w:t>
      </w:r>
      <w:r w:rsidRPr="006C6204">
        <w:rPr>
          <w:b/>
          <w:szCs w:val="24"/>
          <w:lang w:val="es-UY"/>
        </w:rPr>
        <w:t xml:space="preserve"> </w:t>
      </w:r>
      <w:r w:rsidRPr="004D6F32">
        <w:rPr>
          <w:b/>
          <w:bCs/>
          <w:szCs w:val="24"/>
          <w:lang w:val="es-UY"/>
        </w:rPr>
        <w:t>2.1</w:t>
      </w:r>
      <w:r w:rsidRPr="004D6F32">
        <w:rPr>
          <w:bCs/>
          <w:szCs w:val="24"/>
          <w:lang w:val="es-UY"/>
        </w:rPr>
        <w:t>)</w:t>
      </w:r>
    </w:p>
    <w:p w:rsidR="006C6204" w:rsidRPr="006C6204" w:rsidRDefault="006C6204" w:rsidP="006C6204">
      <w:pPr>
        <w:spacing w:before="0"/>
        <w:jc w:val="center"/>
        <w:rPr>
          <w:b/>
          <w:szCs w:val="24"/>
          <w:lang w:val="es-UY"/>
        </w:rPr>
      </w:pPr>
    </w:p>
    <w:p w:rsidR="006C6204" w:rsidRPr="006C6204" w:rsidRDefault="006C6204" w:rsidP="00206241">
      <w:pPr>
        <w:pStyle w:val="Tabletitle"/>
        <w:keepNext w:val="0"/>
        <w:keepLines w:val="0"/>
        <w:rPr>
          <w:lang w:val="es-UY"/>
        </w:rPr>
      </w:pPr>
      <w:r w:rsidRPr="006C6204">
        <w:rPr>
          <w:lang w:val="es-UY"/>
        </w:rPr>
        <w:t>460-890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D6F32" w:rsidRPr="00F5119C" w:rsidTr="00C13F5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F5119C" w:rsidRDefault="004D6F32" w:rsidP="00206241">
            <w:pPr>
              <w:pStyle w:val="Tablehead"/>
              <w:keepNext w:val="0"/>
            </w:pPr>
            <w:proofErr w:type="spellStart"/>
            <w:r w:rsidRPr="00F5119C">
              <w:t>Allocation</w:t>
            </w:r>
            <w:proofErr w:type="spellEnd"/>
            <w:r w:rsidRPr="00F5119C">
              <w:t xml:space="preserve"> to </w:t>
            </w:r>
            <w:proofErr w:type="spellStart"/>
            <w:r w:rsidRPr="00F5119C">
              <w:t>services</w:t>
            </w:r>
            <w:proofErr w:type="spellEnd"/>
          </w:p>
        </w:tc>
      </w:tr>
      <w:tr w:rsidR="004D6F32" w:rsidRPr="00F5119C" w:rsidTr="00C13F5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F5119C" w:rsidRDefault="004D6F32" w:rsidP="00206241">
            <w:pPr>
              <w:pStyle w:val="Tablehead"/>
              <w:keepNext w:val="0"/>
            </w:pPr>
            <w:proofErr w:type="spellStart"/>
            <w:r w:rsidRPr="00F5119C">
              <w:t>Region</w:t>
            </w:r>
            <w:proofErr w:type="spellEnd"/>
            <w:r w:rsidRPr="00F5119C">
              <w:t xml:space="preserve">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F5119C" w:rsidRDefault="004D6F32" w:rsidP="00206241">
            <w:pPr>
              <w:pStyle w:val="Tablehead"/>
              <w:keepNext w:val="0"/>
            </w:pPr>
            <w:proofErr w:type="spellStart"/>
            <w:r w:rsidRPr="00F5119C">
              <w:t>Region</w:t>
            </w:r>
            <w:proofErr w:type="spellEnd"/>
            <w:r w:rsidRPr="00F5119C">
              <w:t xml:space="preserve">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F5119C" w:rsidRDefault="004D6F32" w:rsidP="00206241">
            <w:pPr>
              <w:pStyle w:val="Tablehead"/>
              <w:keepNext w:val="0"/>
            </w:pPr>
            <w:proofErr w:type="spellStart"/>
            <w:r w:rsidRPr="00F5119C">
              <w:t>Region</w:t>
            </w:r>
            <w:proofErr w:type="spellEnd"/>
            <w:r w:rsidRPr="00F5119C">
              <w:t xml:space="preserve"> 3</w:t>
            </w:r>
          </w:p>
        </w:tc>
      </w:tr>
      <w:tr w:rsidR="004D6F32" w:rsidRPr="00F5119C" w:rsidTr="00C13F5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  <w:lang w:val="en-GB"/>
              </w:rPr>
            </w:pPr>
            <w:r w:rsidRPr="004D6F32">
              <w:rPr>
                <w:rStyle w:val="Tablefreq"/>
                <w:lang w:val="en-GB"/>
              </w:rPr>
              <w:t>460-470</w:t>
            </w:r>
            <w:r w:rsidRPr="004D6F32">
              <w:rPr>
                <w:rStyle w:val="Tablefreq"/>
                <w:lang w:val="en-GB"/>
              </w:rPr>
              <w:tab/>
            </w:r>
            <w:r w:rsidRPr="004D6F32">
              <w:rPr>
                <w:color w:val="000000"/>
                <w:lang w:val="en-GB"/>
              </w:rPr>
              <w:tab/>
              <w:t>FIXED</w:t>
            </w:r>
          </w:p>
          <w:p w:rsidR="004D6F32" w:rsidRPr="004D6F32" w:rsidRDefault="004D6F32" w:rsidP="0020624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ab/>
              <w:t xml:space="preserve">MOBILE </w:t>
            </w:r>
            <w:r w:rsidRPr="004D6F32">
              <w:rPr>
                <w:lang w:val="en-GB"/>
              </w:rPr>
              <w:t xml:space="preserve"> 5.286AA</w:t>
            </w:r>
          </w:p>
          <w:p w:rsidR="004D6F32" w:rsidRPr="004D6F32" w:rsidRDefault="004D6F32" w:rsidP="0020624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ab/>
              <w:t xml:space="preserve">Meteorological-satellite (space-to-Earth) </w:t>
            </w:r>
          </w:p>
          <w:p w:rsidR="004D6F32" w:rsidRPr="00F5119C" w:rsidRDefault="004D6F32" w:rsidP="0020624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4D6F32">
              <w:rPr>
                <w:color w:val="000000"/>
                <w:lang w:val="en-GB"/>
              </w:rPr>
              <w:tab/>
            </w:r>
            <w:r w:rsidRPr="00F5119C">
              <w:rPr>
                <w:rStyle w:val="Artref"/>
                <w:color w:val="000000"/>
              </w:rPr>
              <w:t>5.287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5.288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5.289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5.290</w:t>
            </w:r>
          </w:p>
        </w:tc>
      </w:tr>
      <w:tr w:rsidR="004D6F32" w:rsidRPr="00D41CE2" w:rsidTr="00C13F52">
        <w:trPr>
          <w:cantSplit/>
          <w:trHeight w:val="1153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470-790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5.294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5.296  </w:t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rStyle w:val="Artref"/>
                <w:color w:val="000000"/>
              </w:rPr>
              <w:t>5.300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5.304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t xml:space="preserve"> </w:t>
            </w:r>
            <w:r w:rsidRPr="00D41CE2">
              <w:rPr>
                <w:rStyle w:val="Artref"/>
                <w:color w:val="000000"/>
              </w:rPr>
              <w:t xml:space="preserve"> 5.311A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5.312  </w:t>
            </w:r>
            <w:r>
              <w:rPr>
                <w:rStyle w:val="Artref"/>
                <w:color w:val="000000"/>
              </w:rPr>
              <w:t>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lastRenderedPageBreak/>
              <w:t>470-512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proofErr w:type="spellStart"/>
            <w:r w:rsidRPr="00D41CE2">
              <w:rPr>
                <w:color w:val="000000"/>
              </w:rPr>
              <w:t>Fixed</w:t>
            </w:r>
            <w:proofErr w:type="spellEnd"/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4D6F32" w:rsidRPr="00D41CE2" w:rsidRDefault="004D6F32" w:rsidP="00206241">
            <w:pPr>
              <w:pStyle w:val="TableTextS5"/>
              <w:spacing w:before="20" w:after="20"/>
            </w:pPr>
            <w:r w:rsidRPr="00D41CE2">
              <w:rPr>
                <w:rStyle w:val="Artref"/>
                <w:color w:val="000000"/>
              </w:rPr>
              <w:t>5.292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470-585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</w:p>
          <w:p w:rsidR="004D6F32" w:rsidRPr="00D41CE2" w:rsidRDefault="004D6F32" w:rsidP="00206241">
            <w:pPr>
              <w:pStyle w:val="TableTextS5"/>
              <w:spacing w:before="20" w:after="20"/>
            </w:pPr>
            <w:r w:rsidRPr="00D41CE2">
              <w:rPr>
                <w:rStyle w:val="Artref"/>
                <w:color w:val="000000"/>
              </w:rPr>
              <w:t>5.291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5.298</w:t>
            </w:r>
          </w:p>
        </w:tc>
      </w:tr>
      <w:tr w:rsidR="004D6F32" w:rsidRPr="00D41CE2" w:rsidTr="00C13F52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512-608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</w:p>
        </w:tc>
      </w:tr>
      <w:tr w:rsidR="004D6F32" w:rsidRPr="00D41CE2" w:rsidTr="00C13F52">
        <w:trPr>
          <w:cantSplit/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585-610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RADIONAVIGATION</w:t>
            </w:r>
          </w:p>
          <w:p w:rsidR="004D6F32" w:rsidRPr="00D41CE2" w:rsidRDefault="004D6F32" w:rsidP="00206241">
            <w:pPr>
              <w:pStyle w:val="TableTextS5"/>
              <w:spacing w:before="20" w:after="20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</w:p>
        </w:tc>
      </w:tr>
      <w:tr w:rsidR="004D6F32" w:rsidRPr="00D41CE2" w:rsidTr="00C13F52">
        <w:trPr>
          <w:cantSplit/>
          <w:trHeight w:val="102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608-614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RADIO ASTRONOMY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D41CE2">
              <w:rPr>
                <w:color w:val="000000"/>
              </w:rPr>
              <w:t>Mobile-</w:t>
            </w:r>
            <w:proofErr w:type="spellStart"/>
            <w:r w:rsidRPr="00D41CE2">
              <w:rPr>
                <w:color w:val="000000"/>
              </w:rPr>
              <w:t>satellite</w:t>
            </w:r>
            <w:proofErr w:type="spellEnd"/>
            <w:r w:rsidRPr="00D41CE2">
              <w:rPr>
                <w:color w:val="000000"/>
              </w:rPr>
              <w:t xml:space="preserve"> </w:t>
            </w:r>
            <w:proofErr w:type="spellStart"/>
            <w:r w:rsidRPr="00D41CE2">
              <w:rPr>
                <w:color w:val="000000"/>
              </w:rPr>
              <w:t>except</w:t>
            </w:r>
            <w:proofErr w:type="spellEnd"/>
            <w:r w:rsidRPr="00D41CE2">
              <w:rPr>
                <w:color w:val="000000"/>
              </w:rPr>
              <w:br/>
            </w:r>
            <w:proofErr w:type="spellStart"/>
            <w:r w:rsidRPr="00D41CE2">
              <w:rPr>
                <w:color w:val="000000"/>
              </w:rPr>
              <w:t>aeronautical</w:t>
            </w:r>
            <w:proofErr w:type="spellEnd"/>
            <w:r w:rsidRPr="00D41CE2">
              <w:rPr>
                <w:color w:val="000000"/>
              </w:rPr>
              <w:t xml:space="preserve"> </w:t>
            </w:r>
            <w:proofErr w:type="spellStart"/>
            <w:r w:rsidRPr="00D41CE2">
              <w:rPr>
                <w:color w:val="000000"/>
              </w:rPr>
              <w:t>mobile-satellite</w:t>
            </w:r>
            <w:proofErr w:type="spellEnd"/>
            <w:r w:rsidRPr="00D41CE2">
              <w:rPr>
                <w:color w:val="000000"/>
              </w:rPr>
              <w:br/>
              <w:t>(</w:t>
            </w:r>
            <w:proofErr w:type="spellStart"/>
            <w:r w:rsidRPr="00D41CE2">
              <w:rPr>
                <w:color w:val="000000"/>
              </w:rPr>
              <w:t>Earth</w:t>
            </w:r>
            <w:proofErr w:type="spellEnd"/>
            <w:r w:rsidRPr="00D41CE2">
              <w:rPr>
                <w:color w:val="000000"/>
              </w:rPr>
              <w:t>-to-</w:t>
            </w:r>
            <w:proofErr w:type="spellStart"/>
            <w:r w:rsidRPr="00D41CE2">
              <w:rPr>
                <w:color w:val="000000"/>
              </w:rPr>
              <w:t>space</w:t>
            </w:r>
            <w:proofErr w:type="spellEnd"/>
            <w:r w:rsidRPr="00D41CE2">
              <w:rPr>
                <w:color w:val="000000"/>
              </w:rPr>
              <w:t>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</w:p>
        </w:tc>
      </w:tr>
      <w:tr w:rsidR="004D6F32" w:rsidRPr="00BD5CE7" w:rsidTr="00C13F52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lang w:val="en-GB"/>
              </w:rPr>
            </w:pPr>
            <w:r w:rsidRPr="004D6F32">
              <w:rPr>
                <w:rStyle w:val="Tablefreq"/>
                <w:lang w:val="en-GB"/>
              </w:rPr>
              <w:t>610-890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lang w:val="en-GB"/>
              </w:rPr>
            </w:pPr>
            <w:r w:rsidRPr="004D6F32">
              <w:rPr>
                <w:color w:val="000000"/>
                <w:lang w:val="en-GB"/>
              </w:rPr>
              <w:lastRenderedPageBreak/>
              <w:t>FIXED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ind w:left="170" w:hanging="17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MOBILE  5.313A  5.317A</w:t>
            </w:r>
          </w:p>
          <w:p w:rsidR="004D6F32" w:rsidRPr="004D6F32" w:rsidRDefault="004D6F32" w:rsidP="00206241">
            <w:pPr>
              <w:pStyle w:val="TableTextS5"/>
              <w:rPr>
                <w:lang w:val="en-GB"/>
              </w:rPr>
            </w:pPr>
            <w:r w:rsidRPr="004D6F32">
              <w:rPr>
                <w:color w:val="000000"/>
                <w:lang w:val="en-GB"/>
              </w:rPr>
              <w:t>BROADCASTING</w:t>
            </w:r>
          </w:p>
        </w:tc>
      </w:tr>
      <w:tr w:rsidR="004D6F32" w:rsidRPr="00D41CE2" w:rsidTr="00C13F52">
        <w:trPr>
          <w:cantSplit/>
          <w:trHeight w:val="13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  <w:lang w:val="en-GB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614-698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proofErr w:type="spellStart"/>
            <w:r w:rsidRPr="00D41CE2">
              <w:rPr>
                <w:color w:val="000000"/>
              </w:rPr>
              <w:t>Fixed</w:t>
            </w:r>
            <w:proofErr w:type="spellEnd"/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5.293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</w:p>
        </w:tc>
      </w:tr>
      <w:tr w:rsidR="004D6F32" w:rsidRPr="00BD5CE7" w:rsidTr="00C13F52">
        <w:trPr>
          <w:cantSplit/>
          <w:trHeight w:val="976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lang w:val="en-GB"/>
              </w:rPr>
            </w:pPr>
            <w:r w:rsidRPr="004D6F32">
              <w:rPr>
                <w:rStyle w:val="Tablefreq"/>
                <w:lang w:val="en-GB"/>
              </w:rPr>
              <w:t>698-806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 xml:space="preserve">MOBILE  </w:t>
            </w:r>
            <w:r w:rsidRPr="004D6F32">
              <w:rPr>
                <w:rStyle w:val="Artref"/>
                <w:color w:val="000000"/>
                <w:lang w:val="en-GB"/>
              </w:rPr>
              <w:t>5.313B</w:t>
            </w:r>
            <w:r w:rsidRPr="004D6F32">
              <w:rPr>
                <w:color w:val="000000"/>
                <w:lang w:val="en-GB"/>
              </w:rPr>
              <w:t xml:space="preserve">  5.317A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BROADCASTING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Fixed</w:t>
            </w:r>
            <w:r w:rsidRPr="004D6F32">
              <w:rPr>
                <w:color w:val="000000"/>
                <w:lang w:val="en-GB"/>
              </w:rPr>
              <w:br/>
            </w:r>
            <w:r w:rsidRPr="004D6F32">
              <w:rPr>
                <w:color w:val="000000"/>
                <w:lang w:val="en-GB"/>
              </w:rPr>
              <w:br/>
            </w:r>
            <w:r w:rsidRPr="004D6F32">
              <w:rPr>
                <w:rStyle w:val="Artref"/>
                <w:color w:val="000000"/>
                <w:lang w:val="en-GB"/>
              </w:rPr>
              <w:br/>
              <w:t>5.293</w:t>
            </w:r>
            <w:r w:rsidRPr="004D6F32">
              <w:rPr>
                <w:lang w:val="en-GB"/>
              </w:rPr>
              <w:t xml:space="preserve">  </w:t>
            </w:r>
            <w:r w:rsidRPr="004D6F32">
              <w:rPr>
                <w:rStyle w:val="Artref"/>
                <w:color w:val="000000"/>
                <w:lang w:val="en-GB"/>
              </w:rPr>
              <w:t>5.309</w:t>
            </w:r>
            <w:r w:rsidRPr="004D6F32">
              <w:rPr>
                <w:lang w:val="en-GB"/>
              </w:rPr>
              <w:t xml:space="preserve"> </w:t>
            </w:r>
            <w:r w:rsidRPr="004D6F32">
              <w:rPr>
                <w:rStyle w:val="Artref"/>
                <w:color w:val="000000"/>
                <w:lang w:val="en-GB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rPr>
                <w:lang w:val="en-GB"/>
              </w:rPr>
            </w:pPr>
          </w:p>
        </w:tc>
      </w:tr>
      <w:tr w:rsidR="004D6F32" w:rsidRPr="00BD5CE7" w:rsidTr="00C13F52">
        <w:trPr>
          <w:cantSplit/>
          <w:trHeight w:val="32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lang w:val="en-GB"/>
              </w:rPr>
            </w:pPr>
            <w:r w:rsidRPr="004D6F32">
              <w:rPr>
                <w:rStyle w:val="Tablefreq"/>
                <w:lang w:val="en-GB"/>
              </w:rPr>
              <w:t>790-862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FIXED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ind w:left="170" w:hanging="17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MOBILE except aeronautical mobile  5.316B  5.317A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ind w:left="170" w:hanging="170"/>
              <w:rPr>
                <w:color w:val="000000"/>
                <w:lang w:val="en-GB"/>
              </w:rPr>
            </w:pPr>
            <w:r w:rsidRPr="004D6F32">
              <w:rPr>
                <w:color w:val="000000"/>
                <w:lang w:val="en-GB"/>
              </w:rPr>
              <w:t>BROADCASTING</w:t>
            </w:r>
          </w:p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  <w:lang w:val="en-GB"/>
              </w:rPr>
            </w:pPr>
            <w:r w:rsidRPr="004D6F32">
              <w:rPr>
                <w:rStyle w:val="Artref"/>
                <w:color w:val="000000"/>
                <w:lang w:val="en-GB"/>
              </w:rPr>
              <w:t>5.312</w:t>
            </w:r>
            <w:r w:rsidRPr="004D6F32">
              <w:rPr>
                <w:color w:val="000000"/>
                <w:lang w:val="en-GB"/>
              </w:rPr>
              <w:t xml:space="preserve">  </w:t>
            </w:r>
            <w:r w:rsidRPr="004D6F32">
              <w:rPr>
                <w:rStyle w:val="Artref"/>
                <w:color w:val="000000"/>
                <w:lang w:val="en-GB"/>
              </w:rPr>
              <w:t>5.314</w:t>
            </w:r>
            <w:r w:rsidRPr="004D6F32">
              <w:rPr>
                <w:color w:val="000000"/>
                <w:lang w:val="en-GB"/>
              </w:rPr>
              <w:t xml:space="preserve">  </w:t>
            </w:r>
            <w:r w:rsidRPr="004D6F32">
              <w:rPr>
                <w:rStyle w:val="Artref"/>
                <w:color w:val="000000"/>
                <w:lang w:val="en-GB"/>
              </w:rPr>
              <w:t>5.315</w:t>
            </w:r>
            <w:r w:rsidRPr="004D6F32">
              <w:rPr>
                <w:color w:val="000000"/>
                <w:lang w:val="en-GB"/>
              </w:rPr>
              <w:t xml:space="preserve">  </w:t>
            </w:r>
            <w:r w:rsidRPr="004D6F32">
              <w:rPr>
                <w:rStyle w:val="Artref"/>
                <w:color w:val="000000"/>
                <w:lang w:val="en-GB"/>
              </w:rPr>
              <w:t xml:space="preserve">5.316  </w:t>
            </w:r>
            <w:r w:rsidRPr="004D6F32">
              <w:rPr>
                <w:rStyle w:val="Artref"/>
                <w:color w:val="000000"/>
                <w:lang w:val="en-GB"/>
              </w:rPr>
              <w:br/>
            </w:r>
            <w:r w:rsidRPr="004D6F32">
              <w:rPr>
                <w:color w:val="000000"/>
                <w:lang w:val="en-GB"/>
              </w:rPr>
              <w:t>5.316A</w:t>
            </w:r>
            <w:r w:rsidRPr="004D6F32">
              <w:rPr>
                <w:rStyle w:val="Artref"/>
                <w:color w:val="000000"/>
                <w:lang w:val="en-GB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  <w:lang w:val="en-GB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rPr>
                <w:lang w:val="en-GB"/>
              </w:rPr>
            </w:pPr>
          </w:p>
        </w:tc>
      </w:tr>
      <w:tr w:rsidR="004D6F32" w:rsidRPr="00D41CE2" w:rsidTr="00C13F52">
        <w:trPr>
          <w:cantSplit/>
          <w:trHeight w:val="1214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4D6F3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  <w:lang w:val="en-GB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806-890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MOBILE  5.317A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D41CE2">
              <w:rPr>
                <w:color w:val="000000"/>
              </w:rPr>
              <w:t>BROADCASTING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</w:p>
        </w:tc>
      </w:tr>
      <w:tr w:rsidR="004D6F32" w:rsidRPr="00D41CE2" w:rsidTr="00C13F52">
        <w:trPr>
          <w:cantSplit/>
          <w:trHeight w:val="1251"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4D6F32" w:rsidRPr="005279B9" w:rsidRDefault="004D6F32" w:rsidP="00206241">
            <w:pPr>
              <w:pStyle w:val="TableTextS5"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862-890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color w:val="000000"/>
              </w:rPr>
            </w:pPr>
            <w:r w:rsidRPr="00D41CE2">
              <w:rPr>
                <w:color w:val="000000"/>
              </w:rPr>
              <w:t>FIXED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D41CE2">
              <w:rPr>
                <w:color w:val="000000"/>
              </w:rPr>
              <w:t xml:space="preserve">MOBILE </w:t>
            </w:r>
            <w:proofErr w:type="spellStart"/>
            <w:r w:rsidRPr="00D41CE2">
              <w:rPr>
                <w:color w:val="000000"/>
              </w:rPr>
              <w:t>except</w:t>
            </w:r>
            <w:proofErr w:type="spellEnd"/>
            <w:r w:rsidRPr="00D41CE2">
              <w:rPr>
                <w:color w:val="000000"/>
              </w:rPr>
              <w:t xml:space="preserve"> </w:t>
            </w:r>
            <w:proofErr w:type="spellStart"/>
            <w:r w:rsidRPr="00D41CE2">
              <w:rPr>
                <w:color w:val="000000"/>
              </w:rPr>
              <w:t>aeronautical</w:t>
            </w:r>
            <w:proofErr w:type="spellEnd"/>
            <w:r w:rsidRPr="00D41CE2">
              <w:rPr>
                <w:color w:val="000000"/>
              </w:rPr>
              <w:br/>
            </w:r>
            <w:proofErr w:type="spellStart"/>
            <w:r w:rsidRPr="00D41CE2">
              <w:rPr>
                <w:color w:val="000000"/>
              </w:rPr>
              <w:t>mobile</w:t>
            </w:r>
            <w:proofErr w:type="spellEnd"/>
            <w:r w:rsidRPr="00D41CE2">
              <w:rPr>
                <w:color w:val="000000"/>
              </w:rPr>
              <w:t xml:space="preserve">  5.317A</w:t>
            </w:r>
          </w:p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color w:val="000000"/>
              </w:rPr>
              <w:t xml:space="preserve">BROADCASTING  </w:t>
            </w:r>
            <w:r w:rsidRPr="00D41CE2">
              <w:rPr>
                <w:rStyle w:val="Artref"/>
                <w:color w:val="000000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</w:p>
        </w:tc>
      </w:tr>
      <w:tr w:rsidR="004D6F32" w:rsidRPr="00D41CE2" w:rsidTr="00C13F52">
        <w:trPr>
          <w:cantSplit/>
          <w:trHeight w:val="276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br/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br/>
              <w:t>5.317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2" w:rsidRPr="00D41CE2" w:rsidRDefault="004D6F32" w:rsidP="00206241">
            <w:pPr>
              <w:pStyle w:val="TableTextS5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  <w:r w:rsidRPr="00D41CE2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6C6204" w:rsidRPr="006C6204" w:rsidRDefault="006C6204" w:rsidP="006C6204">
      <w:pPr>
        <w:jc w:val="both"/>
        <w:rPr>
          <w:szCs w:val="24"/>
          <w:lang w:val="es-UY"/>
        </w:rPr>
      </w:pPr>
    </w:p>
    <w:p w:rsidR="006C6204" w:rsidRPr="00206241" w:rsidRDefault="007B0A69" w:rsidP="00206241">
      <w:pPr>
        <w:pStyle w:val="Reasons"/>
        <w:rPr>
          <w:b/>
          <w:bCs/>
          <w:lang w:val="en-GB"/>
        </w:rPr>
      </w:pPr>
      <w:r w:rsidRPr="00206241">
        <w:rPr>
          <w:b/>
          <w:bCs/>
          <w:lang w:val="en-GB"/>
        </w:rPr>
        <w:t>Reasons</w:t>
      </w:r>
      <w:r w:rsidR="006C6204" w:rsidRPr="00206241">
        <w:rPr>
          <w:b/>
          <w:bCs/>
          <w:lang w:val="en-GB"/>
        </w:rPr>
        <w:t>:</w:t>
      </w:r>
    </w:p>
    <w:p w:rsidR="0040624D" w:rsidRPr="00206241" w:rsidRDefault="0040624D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Terrestrial broadcasting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is a vital part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of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communication and information infrastructure</w:t>
      </w:r>
      <w:r w:rsidRPr="00206241">
        <w:rPr>
          <w:lang w:val="en-GB"/>
        </w:rPr>
        <w:t>.</w:t>
      </w:r>
    </w:p>
    <w:p w:rsidR="0040624D" w:rsidRPr="00206241" w:rsidRDefault="0040624D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The frequency bands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470-608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MHz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614-698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MHz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are the main</w:t>
      </w:r>
      <w:r w:rsidRPr="00206241">
        <w:rPr>
          <w:lang w:val="en-GB"/>
        </w:rPr>
        <w:t xml:space="preserve"> bands </w:t>
      </w:r>
      <w:r w:rsidRPr="00206241">
        <w:rPr>
          <w:rStyle w:val="hps"/>
          <w:lang w:val="en-GB"/>
        </w:rPr>
        <w:t>to provide the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television broadcasting service</w:t>
      </w:r>
      <w:r w:rsidRPr="00206241">
        <w:rPr>
          <w:lang w:val="en-GB"/>
        </w:rPr>
        <w:t>.</w:t>
      </w:r>
    </w:p>
    <w:p w:rsidR="00DD62A1" w:rsidRPr="00206241" w:rsidRDefault="0040624D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With few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exceptions, countries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in Region 2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are still debating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their first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Digital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Dividend.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Some countries are already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migrating from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analogue to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digital technology,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others have</w:t>
      </w:r>
      <w:r w:rsidRPr="00206241">
        <w:rPr>
          <w:lang w:val="en-GB"/>
        </w:rPr>
        <w:t xml:space="preserve"> not </w:t>
      </w:r>
      <w:r w:rsidRPr="00206241">
        <w:rPr>
          <w:rStyle w:val="hps"/>
          <w:lang w:val="en-GB"/>
        </w:rPr>
        <w:t>yet begun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their migration process</w:t>
      </w:r>
      <w:r w:rsidR="006C6204" w:rsidRPr="00206241">
        <w:rPr>
          <w:lang w:val="en-GB"/>
        </w:rPr>
        <w:t>.</w:t>
      </w:r>
      <w:r w:rsidR="00DD62A1" w:rsidRPr="00206241">
        <w:rPr>
          <w:lang w:val="en-GB"/>
        </w:rPr>
        <w:t xml:space="preserve"> </w:t>
      </w:r>
    </w:p>
    <w:p w:rsidR="006C6204" w:rsidRPr="00206241" w:rsidRDefault="0040624D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Once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completed the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transition from analogue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to digital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TV</w:t>
      </w:r>
      <w:r w:rsidRPr="00206241">
        <w:rPr>
          <w:lang w:val="en-GB"/>
        </w:rPr>
        <w:t xml:space="preserve">, </w:t>
      </w:r>
      <w:r w:rsidRPr="00206241">
        <w:rPr>
          <w:rStyle w:val="hps"/>
          <w:lang w:val="en-GB"/>
        </w:rPr>
        <w:t>these frequency bands will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maintain a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high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density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use of this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service intended for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population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and the same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will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also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be necessary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to ensure the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evolution and development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of the broadcasting service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for</w:t>
      </w:r>
      <w:r w:rsidRPr="00206241">
        <w:rPr>
          <w:lang w:val="en-GB"/>
        </w:rPr>
        <w:t xml:space="preserve"> </w:t>
      </w:r>
      <w:r w:rsidR="00B820B3" w:rsidRPr="00206241">
        <w:rPr>
          <w:lang w:val="en-GB"/>
        </w:rPr>
        <w:t xml:space="preserve">the </w:t>
      </w:r>
      <w:r w:rsidRPr="00206241">
        <w:rPr>
          <w:rStyle w:val="hps"/>
          <w:lang w:val="en-GB"/>
        </w:rPr>
        <w:t>transmission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of television signals</w:t>
      </w:r>
      <w:r w:rsidR="00DD62A1" w:rsidRPr="00206241">
        <w:rPr>
          <w:lang w:val="en-GB"/>
        </w:rPr>
        <w:t>.</w:t>
      </w:r>
    </w:p>
    <w:p w:rsidR="006C6204" w:rsidRPr="00206241" w:rsidRDefault="0040624D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The countries that have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already decided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on the use of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700MHz band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(</w:t>
      </w:r>
      <w:r w:rsidRPr="00206241">
        <w:rPr>
          <w:lang w:val="en-GB"/>
        </w:rPr>
        <w:t xml:space="preserve">698-806 </w:t>
      </w:r>
      <w:r w:rsidRPr="00206241">
        <w:rPr>
          <w:rStyle w:val="hps"/>
          <w:lang w:val="en-GB"/>
        </w:rPr>
        <w:t>MHz</w:t>
      </w:r>
      <w:r w:rsidRPr="00206241">
        <w:rPr>
          <w:lang w:val="en-GB"/>
        </w:rPr>
        <w:t xml:space="preserve">) </w:t>
      </w:r>
      <w:r w:rsidRPr="00206241">
        <w:rPr>
          <w:rStyle w:val="hps"/>
          <w:lang w:val="en-GB"/>
        </w:rPr>
        <w:t>for</w:t>
      </w:r>
      <w:r w:rsidRPr="00206241">
        <w:rPr>
          <w:lang w:val="en-GB"/>
        </w:rPr>
        <w:t xml:space="preserve"> </w:t>
      </w:r>
      <w:r w:rsidR="00B820B3" w:rsidRPr="00206241">
        <w:rPr>
          <w:rStyle w:val="hps"/>
          <w:lang w:val="en-GB"/>
        </w:rPr>
        <w:t>mobile</w:t>
      </w:r>
      <w:r w:rsidRPr="00206241">
        <w:rPr>
          <w:rStyle w:val="hps"/>
          <w:lang w:val="en-GB"/>
        </w:rPr>
        <w:t xml:space="preserve"> broadband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should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ensure the protection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of broadcasting services</w:t>
      </w:r>
      <w:r w:rsidRPr="00206241">
        <w:rPr>
          <w:lang w:val="en-GB"/>
        </w:rPr>
        <w:t xml:space="preserve">, including </w:t>
      </w:r>
      <w:r w:rsidR="00C41832" w:rsidRPr="00206241">
        <w:rPr>
          <w:lang w:val="en-GB"/>
        </w:rPr>
        <w:t>re</w:t>
      </w:r>
      <w:r w:rsidRPr="00206241">
        <w:rPr>
          <w:rStyle w:val="hps"/>
          <w:lang w:val="en-GB"/>
        </w:rPr>
        <w:t>broadcasting</w:t>
      </w:r>
      <w:r w:rsidRPr="00206241">
        <w:rPr>
          <w:lang w:val="en-GB"/>
        </w:rPr>
        <w:t xml:space="preserve">, </w:t>
      </w:r>
      <w:r w:rsidRPr="00206241">
        <w:rPr>
          <w:rStyle w:val="hps"/>
          <w:lang w:val="en-GB"/>
        </w:rPr>
        <w:t>against possible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interfering signals</w:t>
      </w:r>
      <w:r w:rsidRPr="00206241">
        <w:rPr>
          <w:lang w:val="en-GB"/>
        </w:rPr>
        <w:t xml:space="preserve">, </w:t>
      </w:r>
      <w:r w:rsidRPr="00206241">
        <w:rPr>
          <w:rStyle w:val="hps"/>
          <w:lang w:val="en-GB"/>
        </w:rPr>
        <w:t>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must also ensure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same level of</w:t>
      </w:r>
      <w:r w:rsidRPr="00206241">
        <w:rPr>
          <w:lang w:val="en-GB"/>
        </w:rPr>
        <w:t xml:space="preserve"> </w:t>
      </w:r>
      <w:r w:rsidR="00C41832" w:rsidRPr="00206241">
        <w:rPr>
          <w:rStyle w:val="hps"/>
          <w:lang w:val="en-GB"/>
        </w:rPr>
        <w:t>coverage</w:t>
      </w:r>
      <w:r w:rsidR="00C41832" w:rsidRPr="00206241">
        <w:rPr>
          <w:lang w:val="en-GB"/>
        </w:rPr>
        <w:t xml:space="preserve"> of the </w:t>
      </w:r>
      <w:r w:rsidR="00C41832" w:rsidRPr="00206241">
        <w:rPr>
          <w:rStyle w:val="hps"/>
          <w:lang w:val="en-GB"/>
        </w:rPr>
        <w:t xml:space="preserve">broadcasting </w:t>
      </w:r>
      <w:r w:rsidRPr="00206241">
        <w:rPr>
          <w:rStyle w:val="hps"/>
          <w:lang w:val="en-GB"/>
        </w:rPr>
        <w:t>service, including</w:t>
      </w:r>
      <w:r w:rsidRPr="00206241">
        <w:rPr>
          <w:lang w:val="en-GB"/>
        </w:rPr>
        <w:t xml:space="preserve"> </w:t>
      </w:r>
      <w:r w:rsidR="00C41832" w:rsidRPr="00206241">
        <w:rPr>
          <w:lang w:val="en-GB"/>
        </w:rPr>
        <w:t>re</w:t>
      </w:r>
      <w:r w:rsidRPr="00206241">
        <w:rPr>
          <w:rStyle w:val="hps"/>
          <w:lang w:val="en-GB"/>
        </w:rPr>
        <w:t>broadcasting</w:t>
      </w:r>
      <w:r w:rsidR="006C6204" w:rsidRPr="00206241">
        <w:rPr>
          <w:lang w:val="en-GB"/>
        </w:rPr>
        <w:t>.</w:t>
      </w:r>
    </w:p>
    <w:p w:rsidR="001A2474" w:rsidRPr="00206241" w:rsidRDefault="00C41832" w:rsidP="00206241">
      <w:pPr>
        <w:pStyle w:val="Reasons"/>
        <w:rPr>
          <w:rStyle w:val="hps"/>
          <w:lang w:val="en-GB"/>
        </w:rPr>
      </w:pPr>
      <w:r w:rsidRPr="00206241">
        <w:rPr>
          <w:rStyle w:val="hps"/>
          <w:lang w:val="en-GB"/>
        </w:rPr>
        <w:lastRenderedPageBreak/>
        <w:t>Studies performed show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incompatibility of</w:t>
      </w:r>
      <w:r w:rsidRPr="00206241">
        <w:rPr>
          <w:lang w:val="en-GB"/>
        </w:rPr>
        <w:t xml:space="preserve"> the </w:t>
      </w:r>
      <w:r w:rsidRPr="00206241">
        <w:rPr>
          <w:rStyle w:val="hps"/>
          <w:lang w:val="en-GB"/>
        </w:rPr>
        <w:t>broadcasting 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mobile services</w:t>
      </w:r>
      <w:r w:rsidR="00B820B3" w:rsidRPr="00206241">
        <w:rPr>
          <w:rStyle w:val="hps"/>
          <w:lang w:val="en-GB"/>
        </w:rPr>
        <w:t xml:space="preserve"> consisting of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IMT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systems</w:t>
      </w:r>
      <w:r w:rsidRPr="00206241">
        <w:rPr>
          <w:lang w:val="en-GB"/>
        </w:rPr>
        <w:t xml:space="preserve">, noting that </w:t>
      </w:r>
      <w:r w:rsidRPr="00206241">
        <w:rPr>
          <w:rStyle w:val="hps"/>
          <w:lang w:val="en-GB"/>
        </w:rPr>
        <w:t>major geographical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separations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are required to ensure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coexistence of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both services.</w:t>
      </w:r>
    </w:p>
    <w:p w:rsidR="00612BE4" w:rsidRPr="00206241" w:rsidRDefault="00C41832" w:rsidP="00206241">
      <w:pPr>
        <w:pStyle w:val="Reasons"/>
        <w:rPr>
          <w:lang w:val="en-GB"/>
        </w:rPr>
      </w:pPr>
      <w:r w:rsidRPr="00206241">
        <w:rPr>
          <w:rStyle w:val="hps"/>
          <w:lang w:val="en-GB"/>
        </w:rPr>
        <w:t>The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608-614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MHz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band is allocated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on a primary basis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to the Radio</w:t>
      </w:r>
      <w:r w:rsidR="00206241">
        <w:rPr>
          <w:rStyle w:val="hps"/>
          <w:lang w:val="en-GB"/>
        </w:rPr>
        <w:t xml:space="preserve"> </w:t>
      </w:r>
      <w:r w:rsidRPr="00206241">
        <w:rPr>
          <w:rStyle w:val="hps"/>
          <w:lang w:val="en-GB"/>
        </w:rPr>
        <w:t>astronomy</w:t>
      </w:r>
      <w:r w:rsidRPr="00206241">
        <w:rPr>
          <w:lang w:val="en-GB"/>
        </w:rPr>
        <w:t xml:space="preserve"> service </w:t>
      </w:r>
      <w:r w:rsidRPr="00206241">
        <w:rPr>
          <w:rStyle w:val="hps"/>
          <w:lang w:val="en-GB"/>
        </w:rPr>
        <w:t>and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the requirements</w:t>
      </w:r>
      <w:r w:rsidRPr="00206241">
        <w:rPr>
          <w:lang w:val="en-GB"/>
        </w:rPr>
        <w:t xml:space="preserve"> of the same </w:t>
      </w:r>
      <w:r w:rsidRPr="00206241">
        <w:rPr>
          <w:rStyle w:val="hps"/>
          <w:lang w:val="en-GB"/>
        </w:rPr>
        <w:t>do not allow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its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sharing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with mobile</w:t>
      </w:r>
      <w:r w:rsidRPr="00206241">
        <w:rPr>
          <w:lang w:val="en-GB"/>
        </w:rPr>
        <w:t xml:space="preserve"> </w:t>
      </w:r>
      <w:r w:rsidRPr="00206241">
        <w:rPr>
          <w:rStyle w:val="hps"/>
          <w:lang w:val="en-GB"/>
        </w:rPr>
        <w:t>broadband services</w:t>
      </w:r>
      <w:r w:rsidRPr="00206241">
        <w:rPr>
          <w:lang w:val="en-GB"/>
        </w:rPr>
        <w:t>.</w:t>
      </w:r>
    </w:p>
    <w:p w:rsidR="001A2474" w:rsidRPr="00206241" w:rsidRDefault="001A2474" w:rsidP="00206241">
      <w:pPr>
        <w:pStyle w:val="Reasons"/>
        <w:rPr>
          <w:lang w:val="en-GB"/>
        </w:rPr>
      </w:pPr>
    </w:p>
    <w:p w:rsidR="001A2474" w:rsidRPr="00206241" w:rsidRDefault="001A2474">
      <w:pPr>
        <w:jc w:val="center"/>
        <w:rPr>
          <w:lang w:val="en-GB"/>
        </w:rPr>
      </w:pPr>
      <w:r w:rsidRPr="00206241">
        <w:rPr>
          <w:lang w:val="en-GB"/>
        </w:rPr>
        <w:t>______________</w:t>
      </w:r>
    </w:p>
    <w:p w:rsidR="001A2474" w:rsidRPr="00206241" w:rsidRDefault="001A2474" w:rsidP="00206241">
      <w:pPr>
        <w:rPr>
          <w:lang w:val="en-GB"/>
        </w:rPr>
      </w:pPr>
    </w:p>
    <w:sectPr w:rsidR="001A2474" w:rsidRPr="00206241" w:rsidSect="009307D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993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92" w:rsidRDefault="00352792">
      <w:r>
        <w:separator/>
      </w:r>
    </w:p>
  </w:endnote>
  <w:endnote w:type="continuationSeparator" w:id="0">
    <w:p w:rsidR="00352792" w:rsidRDefault="003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390A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08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AA3AAA">
    <w:pPr>
      <w:ind w:right="360"/>
      <w:rPr>
        <w:lang w:val="en-US"/>
      </w:rPr>
    </w:pPr>
    <w:r>
      <w:fldChar w:fldCharType="begin"/>
    </w:r>
    <w:r w:rsidRPr="001C2DAF">
      <w:rPr>
        <w:lang w:val="en-US"/>
      </w:rPr>
      <w:instrText xml:space="preserve"> FILENAME \p  \* MERGEFORMAT </w:instrText>
    </w:r>
    <w:r>
      <w:fldChar w:fldCharType="separate"/>
    </w:r>
    <w:r w:rsidR="001C2DAF" w:rsidRPr="001C2DAF">
      <w:rPr>
        <w:noProof/>
        <w:lang w:val="en-US"/>
      </w:rPr>
      <w:t>Y:\APP\BR\POOL\WRC-15\DOC (Contributions)\1-100\AS RECEIVED\101 multi\Punto 1 1-Multipais-E.docx</w:t>
    </w:r>
    <w:r>
      <w:rPr>
        <w:noProof/>
        <w:lang w:val="en-US"/>
      </w:rPr>
      <w:fldChar w:fldCharType="end"/>
    </w:r>
    <w:r w:rsidR="0077084A">
      <w:rPr>
        <w:lang w:val="en-US"/>
      </w:rPr>
      <w:tab/>
    </w:r>
    <w:r w:rsidR="00390AC2">
      <w:fldChar w:fldCharType="begin"/>
    </w:r>
    <w:r w:rsidR="0077084A">
      <w:instrText xml:space="preserve"> SAVEDATE \@ DD.MM.YY </w:instrText>
    </w:r>
    <w:r w:rsidR="00390AC2">
      <w:fldChar w:fldCharType="separate"/>
    </w:r>
    <w:r w:rsidR="002A3FCF">
      <w:rPr>
        <w:noProof/>
      </w:rPr>
      <w:t>27.10.15</w:t>
    </w:r>
    <w:r w:rsidR="00390AC2">
      <w:fldChar w:fldCharType="end"/>
    </w:r>
    <w:r w:rsidR="0077084A">
      <w:rPr>
        <w:lang w:val="en-US"/>
      </w:rPr>
      <w:tab/>
    </w:r>
    <w:r w:rsidR="00390AC2">
      <w:fldChar w:fldCharType="begin"/>
    </w:r>
    <w:r w:rsidR="0077084A">
      <w:instrText xml:space="preserve"> PRINTDATE \@ DD.MM.YY </w:instrText>
    </w:r>
    <w:r w:rsidR="00390AC2">
      <w:fldChar w:fldCharType="separate"/>
    </w:r>
    <w:r w:rsidR="001C2DAF">
      <w:rPr>
        <w:noProof/>
      </w:rPr>
      <w:t>26.10.15</w:t>
    </w:r>
    <w:r w:rsidR="00390AC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AB24B2">
    <w:pPr>
      <w:pStyle w:val="Footer"/>
      <w:ind w:right="360"/>
      <w:rPr>
        <w:lang w:val="en-US"/>
      </w:rPr>
    </w:pPr>
    <w:r>
      <w:fldChar w:fldCharType="begin"/>
    </w:r>
    <w:r w:rsidRPr="00AB24B2">
      <w:rPr>
        <w:lang w:val="en-US"/>
      </w:rPr>
      <w:instrText xml:space="preserve"> FILENAME \p  \* MERGEFORMAT </w:instrText>
    </w:r>
    <w:r>
      <w:fldChar w:fldCharType="separate"/>
    </w:r>
    <w:r w:rsidR="00F165D4">
      <w:rPr>
        <w:lang w:val="en-US"/>
      </w:rPr>
      <w:t>P:\ENG\ITU-R\CONF-R\CMR15\100\101V3E.docx</w:t>
    </w:r>
    <w:r>
      <w:fldChar w:fldCharType="end"/>
    </w:r>
    <w:r w:rsidRPr="00AB24B2">
      <w:rPr>
        <w:lang w:val="en-US"/>
      </w:rPr>
      <w:t xml:space="preserve"> (388750)</w:t>
    </w:r>
    <w:r w:rsidRPr="00AB24B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5D4">
      <w:t>28.10.15</w:t>
    </w:r>
    <w:r>
      <w:fldChar w:fldCharType="end"/>
    </w:r>
    <w:r w:rsidRPr="00AB24B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65D4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AB24B2" w:rsidP="00AB24B2">
    <w:pPr>
      <w:pStyle w:val="Footer"/>
      <w:rPr>
        <w:lang w:val="en-US"/>
      </w:rPr>
    </w:pPr>
    <w:r>
      <w:fldChar w:fldCharType="begin"/>
    </w:r>
    <w:r w:rsidRPr="00AB24B2">
      <w:rPr>
        <w:lang w:val="en-US"/>
      </w:rPr>
      <w:instrText xml:space="preserve"> FILENAME \p  \* MERGEFORMAT </w:instrText>
    </w:r>
    <w:r>
      <w:fldChar w:fldCharType="separate"/>
    </w:r>
    <w:r w:rsidR="00F165D4">
      <w:rPr>
        <w:lang w:val="en-US"/>
      </w:rPr>
      <w:t>P:\ENG\ITU-R\CONF-R\CMR15\100\101V3E.docx</w:t>
    </w:r>
    <w:r>
      <w:fldChar w:fldCharType="end"/>
    </w:r>
    <w:r w:rsidRPr="00AB24B2">
      <w:rPr>
        <w:lang w:val="en-US"/>
      </w:rPr>
      <w:t xml:space="preserve"> (388750)</w:t>
    </w:r>
    <w:r w:rsidRPr="00AB24B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65D4">
      <w:t>28.10.15</w:t>
    </w:r>
    <w:r>
      <w:fldChar w:fldCharType="end"/>
    </w:r>
    <w:r w:rsidRPr="00AB24B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65D4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92" w:rsidRDefault="00352792">
      <w:r>
        <w:rPr>
          <w:b/>
        </w:rPr>
        <w:t>_______________</w:t>
      </w:r>
    </w:p>
  </w:footnote>
  <w:footnote w:type="continuationSeparator" w:id="0">
    <w:p w:rsidR="00352792" w:rsidRDefault="0035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390AC2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708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5D4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917383" w:rsidP="00060A6D">
    <w:pPr>
      <w:pStyle w:val="Header"/>
      <w:rPr>
        <w:lang w:val="en-US"/>
      </w:rPr>
    </w:pPr>
    <w:r>
      <w:rPr>
        <w:lang w:val="en-US"/>
      </w:rPr>
      <w:t>CMR</w:t>
    </w:r>
    <w:r w:rsidR="007B0A69">
      <w:rPr>
        <w:lang w:val="en-US"/>
      </w:rPr>
      <w:t>15</w:t>
    </w:r>
    <w:r w:rsidR="00612BE4">
      <w:rPr>
        <w:lang w:val="en-US"/>
      </w:rPr>
      <w:t>/</w:t>
    </w:r>
    <w:r>
      <w:rPr>
        <w:lang w:val="en-US"/>
      </w:rPr>
      <w:t>101-E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F3948E0"/>
    <w:multiLevelType w:val="hybridMultilevel"/>
    <w:tmpl w:val="E0AE154A"/>
    <w:lvl w:ilvl="0" w:tplc="4A0ABE9C">
      <w:start w:val="1"/>
      <w:numFmt w:val="upperLetter"/>
      <w:lvlText w:val="%1)"/>
      <w:lvlJc w:val="left"/>
      <w:pPr>
        <w:ind w:left="223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955" w:hanging="360"/>
      </w:pPr>
    </w:lvl>
    <w:lvl w:ilvl="2" w:tplc="380A001B" w:tentative="1">
      <w:start w:val="1"/>
      <w:numFmt w:val="lowerRoman"/>
      <w:lvlText w:val="%3."/>
      <w:lvlJc w:val="right"/>
      <w:pPr>
        <w:ind w:left="3675" w:hanging="180"/>
      </w:pPr>
    </w:lvl>
    <w:lvl w:ilvl="3" w:tplc="380A000F" w:tentative="1">
      <w:start w:val="1"/>
      <w:numFmt w:val="decimal"/>
      <w:lvlText w:val="%4."/>
      <w:lvlJc w:val="left"/>
      <w:pPr>
        <w:ind w:left="4395" w:hanging="360"/>
      </w:pPr>
    </w:lvl>
    <w:lvl w:ilvl="4" w:tplc="380A0019" w:tentative="1">
      <w:start w:val="1"/>
      <w:numFmt w:val="lowerLetter"/>
      <w:lvlText w:val="%5."/>
      <w:lvlJc w:val="left"/>
      <w:pPr>
        <w:ind w:left="5115" w:hanging="360"/>
      </w:pPr>
    </w:lvl>
    <w:lvl w:ilvl="5" w:tplc="380A001B" w:tentative="1">
      <w:start w:val="1"/>
      <w:numFmt w:val="lowerRoman"/>
      <w:lvlText w:val="%6."/>
      <w:lvlJc w:val="right"/>
      <w:pPr>
        <w:ind w:left="5835" w:hanging="180"/>
      </w:pPr>
    </w:lvl>
    <w:lvl w:ilvl="6" w:tplc="380A000F" w:tentative="1">
      <w:start w:val="1"/>
      <w:numFmt w:val="decimal"/>
      <w:lvlText w:val="%7."/>
      <w:lvlJc w:val="left"/>
      <w:pPr>
        <w:ind w:left="6555" w:hanging="360"/>
      </w:pPr>
    </w:lvl>
    <w:lvl w:ilvl="7" w:tplc="380A0019" w:tentative="1">
      <w:start w:val="1"/>
      <w:numFmt w:val="lowerLetter"/>
      <w:lvlText w:val="%8."/>
      <w:lvlJc w:val="left"/>
      <w:pPr>
        <w:ind w:left="7275" w:hanging="360"/>
      </w:pPr>
    </w:lvl>
    <w:lvl w:ilvl="8" w:tplc="380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76904B34"/>
    <w:multiLevelType w:val="hybridMultilevel"/>
    <w:tmpl w:val="9E325ECE"/>
    <w:lvl w:ilvl="0" w:tplc="5E06A55E">
      <w:start w:val="1"/>
      <w:numFmt w:val="bullet"/>
      <w:pStyle w:val="Ele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FA"/>
    <w:rsid w:val="00017F6C"/>
    <w:rsid w:val="00035C6E"/>
    <w:rsid w:val="00043873"/>
    <w:rsid w:val="00060A6D"/>
    <w:rsid w:val="000827AB"/>
    <w:rsid w:val="00087AE8"/>
    <w:rsid w:val="000D1059"/>
    <w:rsid w:val="000E5BF9"/>
    <w:rsid w:val="000F0E6D"/>
    <w:rsid w:val="000F117F"/>
    <w:rsid w:val="00121170"/>
    <w:rsid w:val="00123CC5"/>
    <w:rsid w:val="0015142D"/>
    <w:rsid w:val="001616DC"/>
    <w:rsid w:val="00163962"/>
    <w:rsid w:val="00191A97"/>
    <w:rsid w:val="001A2474"/>
    <w:rsid w:val="001C2DAF"/>
    <w:rsid w:val="001C41FA"/>
    <w:rsid w:val="001C613F"/>
    <w:rsid w:val="001E2B52"/>
    <w:rsid w:val="001E3F27"/>
    <w:rsid w:val="00206241"/>
    <w:rsid w:val="00236D2A"/>
    <w:rsid w:val="002374BF"/>
    <w:rsid w:val="00255F12"/>
    <w:rsid w:val="00262C09"/>
    <w:rsid w:val="002965B1"/>
    <w:rsid w:val="002A3FCF"/>
    <w:rsid w:val="002A791F"/>
    <w:rsid w:val="002C1B26"/>
    <w:rsid w:val="002E701F"/>
    <w:rsid w:val="0032680B"/>
    <w:rsid w:val="00352792"/>
    <w:rsid w:val="00363A65"/>
    <w:rsid w:val="00377704"/>
    <w:rsid w:val="00390AC2"/>
    <w:rsid w:val="003C2508"/>
    <w:rsid w:val="003D0AA3"/>
    <w:rsid w:val="0040624D"/>
    <w:rsid w:val="00454553"/>
    <w:rsid w:val="004B124A"/>
    <w:rsid w:val="004C43AB"/>
    <w:rsid w:val="004D6F32"/>
    <w:rsid w:val="004F3CA1"/>
    <w:rsid w:val="004F54E8"/>
    <w:rsid w:val="00532097"/>
    <w:rsid w:val="00561502"/>
    <w:rsid w:val="0058350F"/>
    <w:rsid w:val="005F2605"/>
    <w:rsid w:val="00612BE4"/>
    <w:rsid w:val="006408D3"/>
    <w:rsid w:val="0064675D"/>
    <w:rsid w:val="00662BA0"/>
    <w:rsid w:val="00692AAE"/>
    <w:rsid w:val="006A05A4"/>
    <w:rsid w:val="006C6204"/>
    <w:rsid w:val="006D6E67"/>
    <w:rsid w:val="006E12CB"/>
    <w:rsid w:val="00701C20"/>
    <w:rsid w:val="00705531"/>
    <w:rsid w:val="007177A4"/>
    <w:rsid w:val="007354E9"/>
    <w:rsid w:val="007441B0"/>
    <w:rsid w:val="007542C0"/>
    <w:rsid w:val="00765578"/>
    <w:rsid w:val="0077084A"/>
    <w:rsid w:val="007B0A69"/>
    <w:rsid w:val="007C2317"/>
    <w:rsid w:val="007D330A"/>
    <w:rsid w:val="00866AE6"/>
    <w:rsid w:val="008741B4"/>
    <w:rsid w:val="008A09A8"/>
    <w:rsid w:val="008D2E67"/>
    <w:rsid w:val="009143FA"/>
    <w:rsid w:val="00917383"/>
    <w:rsid w:val="009307D7"/>
    <w:rsid w:val="0094091F"/>
    <w:rsid w:val="009538D2"/>
    <w:rsid w:val="0097370C"/>
    <w:rsid w:val="00973754"/>
    <w:rsid w:val="00985555"/>
    <w:rsid w:val="009C0BED"/>
    <w:rsid w:val="009E11EC"/>
    <w:rsid w:val="009E1D96"/>
    <w:rsid w:val="009F6FD5"/>
    <w:rsid w:val="00A118DB"/>
    <w:rsid w:val="00A17BB5"/>
    <w:rsid w:val="00A22721"/>
    <w:rsid w:val="00A4450C"/>
    <w:rsid w:val="00AA3AAA"/>
    <w:rsid w:val="00AA5E6C"/>
    <w:rsid w:val="00AB24B2"/>
    <w:rsid w:val="00AD094B"/>
    <w:rsid w:val="00AE5677"/>
    <w:rsid w:val="00AF2F78"/>
    <w:rsid w:val="00AF6F8A"/>
    <w:rsid w:val="00B52D55"/>
    <w:rsid w:val="00B80C1F"/>
    <w:rsid w:val="00B820B3"/>
    <w:rsid w:val="00B834F6"/>
    <w:rsid w:val="00BA7416"/>
    <w:rsid w:val="00BD0C5E"/>
    <w:rsid w:val="00BD5CE7"/>
    <w:rsid w:val="00BE2E80"/>
    <w:rsid w:val="00BE5EDD"/>
    <w:rsid w:val="00BE6A1F"/>
    <w:rsid w:val="00C00895"/>
    <w:rsid w:val="00C126C4"/>
    <w:rsid w:val="00C41832"/>
    <w:rsid w:val="00C55D4F"/>
    <w:rsid w:val="00C60D5E"/>
    <w:rsid w:val="00C63EB5"/>
    <w:rsid w:val="00C77D41"/>
    <w:rsid w:val="00C8216A"/>
    <w:rsid w:val="00C948AE"/>
    <w:rsid w:val="00CA0AEE"/>
    <w:rsid w:val="00CC01E0"/>
    <w:rsid w:val="00CE60D2"/>
    <w:rsid w:val="00CE7501"/>
    <w:rsid w:val="00D0288A"/>
    <w:rsid w:val="00D405F7"/>
    <w:rsid w:val="00D72A5D"/>
    <w:rsid w:val="00DC629B"/>
    <w:rsid w:val="00DD62A1"/>
    <w:rsid w:val="00E262F1"/>
    <w:rsid w:val="00E34746"/>
    <w:rsid w:val="00E71D14"/>
    <w:rsid w:val="00EB5CF8"/>
    <w:rsid w:val="00F069BB"/>
    <w:rsid w:val="00F165D4"/>
    <w:rsid w:val="00F8150C"/>
    <w:rsid w:val="00FE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."/>
  <w15:docId w15:val="{FC31E708-87ED-4C1A-8225-067345D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3,Style 124,fr,o,Style 3,FR,Footnote symbol,Style 17,Appel note de bas de p + 11 pt,Italic,Footnote,Appel note de bas de p1,Appel note de bas de"/>
    <w:basedOn w:val="DefaultParagraphFont"/>
    <w:rsid w:val="00D405F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paragraph" w:styleId="BalloonText">
    <w:name w:val="Balloon Text"/>
    <w:basedOn w:val="Normal"/>
    <w:link w:val="BalloonTextChar"/>
    <w:semiHidden/>
    <w:unhideWhenUsed/>
    <w:rsid w:val="00C60D5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0D5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V- Char"/>
    <w:link w:val="FootnoteText"/>
    <w:locked/>
    <w:rsid w:val="006C6204"/>
    <w:rPr>
      <w:rFonts w:ascii="Times New Roman" w:hAnsi="Times New Roman"/>
      <w:sz w:val="24"/>
      <w:lang w:val="es-ES_tradnl" w:eastAsia="en-US"/>
    </w:rPr>
  </w:style>
  <w:style w:type="character" w:customStyle="1" w:styleId="ArttitleCar">
    <w:name w:val="Art_title Car"/>
    <w:link w:val="Arttitle"/>
    <w:locked/>
    <w:rsid w:val="006C620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rsid w:val="006C6204"/>
    <w:rPr>
      <w:rFonts w:cs="Times New Roman"/>
    </w:rPr>
  </w:style>
  <w:style w:type="paragraph" w:styleId="BodyText">
    <w:name w:val="Body Text"/>
    <w:basedOn w:val="Normal"/>
    <w:link w:val="BodyTextChar"/>
    <w:rsid w:val="006C62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C6204"/>
    <w:rPr>
      <w:rFonts w:ascii="Times New Roman" w:hAnsi="Times New Roman"/>
      <w:lang w:eastAsia="en-US"/>
    </w:rPr>
  </w:style>
  <w:style w:type="paragraph" w:customStyle="1" w:styleId="Default">
    <w:name w:val="Default"/>
    <w:rsid w:val="006C62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rsid w:val="006C62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pt-BR" w:eastAsia="pt-BR"/>
    </w:rPr>
  </w:style>
  <w:style w:type="paragraph" w:customStyle="1" w:styleId="Elev">
    <w:name w:val="Elev"/>
    <w:basedOn w:val="Normal"/>
    <w:rsid w:val="006C6204"/>
    <w:pPr>
      <w:numPr>
        <w:numId w:val="12"/>
      </w:num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sz w:val="22"/>
      <w:szCs w:val="22"/>
      <w:lang w:val="en-CA"/>
    </w:rPr>
  </w:style>
  <w:style w:type="paragraph" w:customStyle="1" w:styleId="Prrafodelista1">
    <w:name w:val="Párrafo de lista1"/>
    <w:basedOn w:val="Normal"/>
    <w:qFormat/>
    <w:rsid w:val="006C62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pt-BR" w:eastAsia="pt-BR"/>
    </w:rPr>
  </w:style>
  <w:style w:type="character" w:customStyle="1" w:styleId="hps">
    <w:name w:val="hps"/>
    <w:basedOn w:val="DefaultParagraphFont"/>
    <w:rsid w:val="00CE7501"/>
  </w:style>
  <w:style w:type="character" w:customStyle="1" w:styleId="shorttext">
    <w:name w:val="short_text"/>
    <w:basedOn w:val="DefaultParagraphFont"/>
    <w:rsid w:val="007B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BC2B-5484-464D-B71F-127D4B9AE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2F7B8-B68A-4601-82E8-2B45D4F12A46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432E2-FFDA-46E0-A8E1-55119AFC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1A2B2-4D51-42E9-B0D0-B4286893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</TotalTime>
  <Pages>3</Pages>
  <Words>654</Words>
  <Characters>4169</Characters>
  <Application>Microsoft Office Word</Application>
  <DocSecurity>0</DocSecurity>
  <Lines>166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Secretaría General - Pool</Manager>
  <Company>Unión Internacional de Telecomunicaciones (UIT)</Company>
  <LinksUpToDate>false</LinksUpToDate>
  <CharactersWithSpaces>4723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Murphy, Margaret</dc:creator>
  <dc:description>PS_WRC07.dot  Para: _x000d_Fecha del documento: _x000d_Registrado por WRC106464 a 00:11:52 el 06.11.07</dc:description>
  <cp:lastModifiedBy>Turnbull, Karen</cp:lastModifiedBy>
  <cp:revision>4</cp:revision>
  <cp:lastPrinted>2015-10-26T13:28:00Z</cp:lastPrinted>
  <dcterms:created xsi:type="dcterms:W3CDTF">2015-10-28T11:44:00Z</dcterms:created>
  <dcterms:modified xsi:type="dcterms:W3CDTF">2015-10-28T11:46:00Z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0x01010033ED47F78E4E10458D4E29250978E387</vt:lpwstr>
  </property>
</Properties>
</file>