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21 au</w:t>
            </w:r>
            <w:r>
              <w:rPr>
                <w:rFonts w:ascii="Verdana" w:eastAsia="SimSun" w:hAnsi="Verdana" w:cs="Traditional Arabic"/>
                <w:b/>
                <w:sz w:val="20"/>
                <w:lang w:val="en-US"/>
              </w:rPr>
              <w:br/>
              <w:t>Document 103</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Japon</w:t>
            </w:r>
          </w:p>
        </w:tc>
      </w:tr>
      <w:tr w:rsidR="00690C7B" w:rsidRPr="002A6F8F" w:rsidTr="0050008E">
        <w:trPr>
          <w:cantSplit/>
        </w:trPr>
        <w:tc>
          <w:tcPr>
            <w:tcW w:w="10031" w:type="dxa"/>
            <w:gridSpan w:val="2"/>
          </w:tcPr>
          <w:p w:rsidR="00690C7B" w:rsidRPr="00B97132" w:rsidRDefault="00690C7B" w:rsidP="00B97132">
            <w:pPr>
              <w:pStyle w:val="Title1"/>
              <w:rPr>
                <w:lang w:val="fr-CH"/>
              </w:rPr>
            </w:pPr>
            <w:bookmarkStart w:id="3" w:name="dtitle1" w:colFirst="0" w:colLast="0"/>
            <w:bookmarkEnd w:id="2"/>
            <w:r w:rsidRPr="00B97132">
              <w:rPr>
                <w:lang w:val="fr-CH"/>
              </w:rPr>
              <w:t>Propos</w:t>
            </w:r>
            <w:r w:rsidR="00B97132" w:rsidRPr="00B97132">
              <w:rPr>
                <w:lang w:val="fr-CH"/>
              </w:rPr>
              <w:t xml:space="preserve">itions pour les travaux de la </w:t>
            </w:r>
            <w:r w:rsidRPr="00B97132">
              <w:rPr>
                <w:lang w:val="fr-CH"/>
              </w:rPr>
              <w:t>conf</w:t>
            </w:r>
            <w:r w:rsidR="00B97132" w:rsidRPr="00B97132">
              <w:rPr>
                <w:lang w:val="fr-CH"/>
              </w:rPr>
              <w:t>é</w:t>
            </w:r>
            <w:r w:rsidRPr="00B97132">
              <w:rPr>
                <w:lang w:val="fr-CH"/>
              </w:rPr>
              <w:t>rence</w:t>
            </w:r>
          </w:p>
        </w:tc>
      </w:tr>
      <w:tr w:rsidR="00690C7B" w:rsidRPr="002A6F8F" w:rsidTr="0050008E">
        <w:trPr>
          <w:cantSplit/>
        </w:trPr>
        <w:tc>
          <w:tcPr>
            <w:tcW w:w="10031" w:type="dxa"/>
            <w:gridSpan w:val="2"/>
          </w:tcPr>
          <w:p w:rsidR="00690C7B" w:rsidRPr="00B97132"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 de l'ordre du jour</w:t>
            </w:r>
          </w:p>
        </w:tc>
      </w:tr>
    </w:tbl>
    <w:bookmarkEnd w:id="5"/>
    <w:p w:rsidR="001C0E40" w:rsidRPr="00F536DB" w:rsidRDefault="00DA161F" w:rsidP="008233DE">
      <w:pPr>
        <w:rPr>
          <w:lang w:val="fr-CA"/>
        </w:rPr>
      </w:pPr>
      <w:r w:rsidRPr="0003194D">
        <w:rPr>
          <w:lang w:val="fr-CA"/>
        </w:rPr>
        <w:t>7</w:t>
      </w:r>
      <w:r w:rsidRPr="0003194D">
        <w:rPr>
          <w:lang w:val="fr-CA"/>
        </w:rPr>
        <w:tab/>
      </w:r>
      <w:r w:rsidRPr="00F536DB">
        <w:rPr>
          <w:lang w:val="fr-CA"/>
        </w:rPr>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536DB">
        <w:rPr>
          <w:b/>
          <w:bCs/>
          <w:lang w:val="fr-CA"/>
        </w:rPr>
        <w:t>86 (Rév.CMR-07)</w:t>
      </w:r>
      <w:r w:rsidRPr="00F536DB">
        <w:rPr>
          <w:lang w:val="fr-CA"/>
        </w:rPr>
        <w:t>, afin de faciliter l'utilisation rationnelle, efficace et économique des fréquences radioélectriques et des orbites associées, y compris de l'orbite des satellites géostationnaires;</w:t>
      </w:r>
    </w:p>
    <w:p w:rsidR="00B97132" w:rsidRDefault="00B97132" w:rsidP="008233DE">
      <w:pPr>
        <w:overflowPunct/>
        <w:autoSpaceDE/>
        <w:autoSpaceDN/>
        <w:adjustRightInd/>
        <w:textAlignment w:val="auto"/>
        <w:rPr>
          <w:color w:val="000000"/>
        </w:rPr>
      </w:pPr>
      <w:r w:rsidRPr="00F536DB">
        <w:rPr>
          <w:color w:val="000000"/>
        </w:rPr>
        <w:t xml:space="preserve">On trouvera dans le tableau ci-dessous les </w:t>
      </w:r>
      <w:r w:rsidR="000E034E" w:rsidRPr="00F536DB">
        <w:rPr>
          <w:color w:val="000000"/>
        </w:rPr>
        <w:t>positions du Japon</w:t>
      </w:r>
      <w:r w:rsidRPr="00F536DB">
        <w:rPr>
          <w:color w:val="000000"/>
        </w:rPr>
        <w:t xml:space="preserve"> relatives au</w:t>
      </w:r>
      <w:r w:rsidR="000E034E" w:rsidRPr="00F536DB">
        <w:rPr>
          <w:color w:val="000000"/>
        </w:rPr>
        <w:t xml:space="preserve">x différentes questions </w:t>
      </w:r>
      <w:r w:rsidR="00F536DB">
        <w:rPr>
          <w:color w:val="000000"/>
        </w:rPr>
        <w:t xml:space="preserve">au titre </w:t>
      </w:r>
      <w:r w:rsidR="000E034E" w:rsidRPr="00F536DB">
        <w:rPr>
          <w:color w:val="000000"/>
        </w:rPr>
        <w:t>du</w:t>
      </w:r>
      <w:r w:rsidRPr="00F536DB">
        <w:rPr>
          <w:color w:val="000000"/>
        </w:rPr>
        <w:t xml:space="preserve"> point 7 de l'ordre du jour et les addenda dans lesquels elles figurent.</w:t>
      </w:r>
    </w:p>
    <w:p w:rsidR="008233DE" w:rsidRPr="00F536DB" w:rsidRDefault="008233DE" w:rsidP="008233DE">
      <w:pPr>
        <w:overflowPunct/>
        <w:autoSpaceDE/>
        <w:autoSpaceDN/>
        <w:adjustRightInd/>
        <w:textAlignment w:val="auto"/>
        <w:rPr>
          <w:lang w:val="fr-CH"/>
        </w:rPr>
      </w:pPr>
      <w:bookmarkStart w:id="6" w:name="_GoBack"/>
      <w:bookmarkEnd w:id="6"/>
    </w:p>
    <w:tbl>
      <w:tblPr>
        <w:tblStyle w:val="TableGrid"/>
        <w:tblW w:w="0" w:type="auto"/>
        <w:jc w:val="center"/>
        <w:tblLook w:val="04A0" w:firstRow="1" w:lastRow="0" w:firstColumn="1" w:lastColumn="0" w:noHBand="0" w:noVBand="1"/>
      </w:tblPr>
      <w:tblGrid>
        <w:gridCol w:w="1137"/>
        <w:gridCol w:w="6656"/>
        <w:gridCol w:w="1814"/>
      </w:tblGrid>
      <w:tr w:rsidR="00B97132" w:rsidRPr="00F536DB" w:rsidTr="00DC724B">
        <w:trPr>
          <w:tblHeader/>
          <w:jc w:val="center"/>
        </w:trPr>
        <w:tc>
          <w:tcPr>
            <w:tcW w:w="830" w:type="dxa"/>
            <w:tcBorders>
              <w:top w:val="single" w:sz="4" w:space="0" w:color="auto"/>
              <w:left w:val="single" w:sz="4" w:space="0" w:color="auto"/>
              <w:bottom w:val="single" w:sz="4" w:space="0" w:color="auto"/>
              <w:right w:val="single" w:sz="4" w:space="0" w:color="auto"/>
            </w:tcBorders>
            <w:hideMark/>
          </w:tcPr>
          <w:p w:rsidR="00B97132" w:rsidRPr="00F536DB" w:rsidRDefault="00B97132" w:rsidP="00B97132">
            <w:pPr>
              <w:pStyle w:val="Tablehead"/>
            </w:pPr>
            <w:r w:rsidRPr="00F536DB">
              <w:rPr>
                <w:rFonts w:ascii="Times New Roman Bold" w:eastAsia="MS Mincho" w:hAnsi="Times New Roman Bold" w:cs="Times New Roman Bold"/>
                <w:sz w:val="24"/>
                <w:szCs w:val="24"/>
                <w:lang w:val="en-GB"/>
              </w:rPr>
              <w:t>Question</w:t>
            </w:r>
          </w:p>
        </w:tc>
        <w:tc>
          <w:tcPr>
            <w:tcW w:w="6656" w:type="dxa"/>
            <w:tcBorders>
              <w:top w:val="single" w:sz="4" w:space="0" w:color="auto"/>
              <w:left w:val="single" w:sz="4" w:space="0" w:color="auto"/>
              <w:bottom w:val="single" w:sz="4" w:space="0" w:color="auto"/>
              <w:right w:val="single" w:sz="4" w:space="0" w:color="auto"/>
            </w:tcBorders>
            <w:hideMark/>
          </w:tcPr>
          <w:p w:rsidR="00B97132" w:rsidRPr="00F536DB" w:rsidRDefault="00B97132" w:rsidP="00B97132">
            <w:pPr>
              <w:pStyle w:val="Tablehead"/>
            </w:pPr>
            <w:r w:rsidRPr="00F536DB">
              <w:rPr>
                <w:rFonts w:ascii="Times New Roman Bold" w:eastAsia="MS Mincho" w:hAnsi="Times New Roman Bold" w:cs="Times New Roman Bold"/>
                <w:sz w:val="24"/>
                <w:szCs w:val="24"/>
                <w:lang w:val="en-GB"/>
              </w:rPr>
              <w:t>Titre</w:t>
            </w:r>
          </w:p>
        </w:tc>
        <w:tc>
          <w:tcPr>
            <w:tcW w:w="1814" w:type="dxa"/>
            <w:tcBorders>
              <w:top w:val="single" w:sz="4" w:space="0" w:color="auto"/>
              <w:left w:val="single" w:sz="4" w:space="0" w:color="auto"/>
              <w:bottom w:val="single" w:sz="4" w:space="0" w:color="auto"/>
              <w:right w:val="single" w:sz="4" w:space="0" w:color="auto"/>
            </w:tcBorders>
            <w:hideMark/>
          </w:tcPr>
          <w:p w:rsidR="00B97132" w:rsidRPr="00F536DB" w:rsidRDefault="00B97132" w:rsidP="00B97132">
            <w:pPr>
              <w:pStyle w:val="Tablehead"/>
            </w:pPr>
            <w:r w:rsidRPr="00F536DB">
              <w:rPr>
                <w:rFonts w:ascii="Times New Roman Bold" w:eastAsia="MS Mincho" w:hAnsi="Times New Roman Bold" w:cs="Times New Roman Bold"/>
                <w:sz w:val="24"/>
                <w:szCs w:val="24"/>
                <w:lang w:val="en-GB"/>
              </w:rPr>
              <w:t>Addendum N°</w:t>
            </w:r>
          </w:p>
        </w:tc>
      </w:tr>
      <w:tr w:rsidR="00B97132" w:rsidRPr="00F536DB" w:rsidTr="00EC7F53">
        <w:trPr>
          <w:jc w:val="center"/>
        </w:trPr>
        <w:tc>
          <w:tcPr>
            <w:tcW w:w="830"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jc w:val="center"/>
              <w:rPr>
                <w:sz w:val="24"/>
                <w:szCs w:val="24"/>
                <w:lang w:eastAsia="ja-JP"/>
              </w:rPr>
            </w:pPr>
            <w:r w:rsidRPr="00F536DB">
              <w:rPr>
                <w:rFonts w:hint="eastAsia"/>
                <w:sz w:val="24"/>
                <w:szCs w:val="24"/>
                <w:lang w:eastAsia="ja-JP"/>
              </w:rPr>
              <w:t>C</w:t>
            </w:r>
          </w:p>
        </w:tc>
        <w:tc>
          <w:tcPr>
            <w:tcW w:w="6656"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rPr>
                <w:sz w:val="24"/>
                <w:szCs w:val="24"/>
                <w:lang w:val="fr-CH"/>
              </w:rPr>
            </w:pPr>
            <w:r w:rsidRPr="00F536DB">
              <w:rPr>
                <w:rFonts w:eastAsiaTheme="minorEastAsia"/>
                <w:snapToGrid w:val="0"/>
                <w:sz w:val="24"/>
                <w:szCs w:val="24"/>
                <w:lang w:val="fr-CH" w:eastAsia="ja-JP"/>
              </w:rPr>
              <w:t>Question C – Révision ou éventuellement annulation du mécanisme de publication anticipée pour les réseaux à satellite soumis à la coordination au titre du la Section II de l'Article 9 du Règlement des radiocommunications</w:t>
            </w:r>
          </w:p>
        </w:tc>
        <w:tc>
          <w:tcPr>
            <w:tcW w:w="1814"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jc w:val="center"/>
              <w:rPr>
                <w:sz w:val="24"/>
                <w:szCs w:val="24"/>
                <w:lang w:eastAsia="ja-JP"/>
              </w:rPr>
            </w:pPr>
            <w:r w:rsidRPr="00F536DB">
              <w:rPr>
                <w:sz w:val="24"/>
                <w:szCs w:val="24"/>
              </w:rPr>
              <w:t>A</w:t>
            </w:r>
            <w:r w:rsidRPr="00F536DB">
              <w:rPr>
                <w:rFonts w:hint="eastAsia"/>
                <w:sz w:val="24"/>
                <w:szCs w:val="24"/>
                <w:lang w:eastAsia="ja-JP"/>
              </w:rPr>
              <w:t>21</w:t>
            </w:r>
            <w:r w:rsidRPr="00F536DB">
              <w:rPr>
                <w:sz w:val="24"/>
                <w:szCs w:val="24"/>
              </w:rPr>
              <w:t>-A</w:t>
            </w:r>
            <w:r w:rsidRPr="00F536DB">
              <w:rPr>
                <w:rFonts w:hint="eastAsia"/>
                <w:sz w:val="24"/>
                <w:szCs w:val="24"/>
                <w:lang w:eastAsia="ja-JP"/>
              </w:rPr>
              <w:t>1</w:t>
            </w:r>
          </w:p>
        </w:tc>
      </w:tr>
      <w:tr w:rsidR="00B97132" w:rsidRPr="00F536DB" w:rsidTr="00EC7F53">
        <w:trPr>
          <w:jc w:val="center"/>
        </w:trPr>
        <w:tc>
          <w:tcPr>
            <w:tcW w:w="830"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jc w:val="center"/>
              <w:rPr>
                <w:sz w:val="24"/>
                <w:szCs w:val="24"/>
              </w:rPr>
            </w:pPr>
            <w:r w:rsidRPr="00F536DB">
              <w:rPr>
                <w:sz w:val="24"/>
                <w:szCs w:val="24"/>
              </w:rPr>
              <w:t>I</w:t>
            </w:r>
          </w:p>
        </w:tc>
        <w:tc>
          <w:tcPr>
            <w:tcW w:w="6656"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rPr>
                <w:sz w:val="24"/>
                <w:szCs w:val="24"/>
                <w:lang w:val="fr-CH"/>
              </w:rPr>
            </w:pPr>
            <w:r w:rsidRPr="00F536DB">
              <w:rPr>
                <w:rFonts w:eastAsiaTheme="minorEastAsia"/>
                <w:snapToGrid w:val="0"/>
                <w:sz w:val="24"/>
                <w:szCs w:val="24"/>
                <w:lang w:val="fr-CH" w:eastAsia="ja-JP"/>
              </w:rPr>
              <w:t>Question I – Méthode possible pour atténuer le problème du nombre excessif de fiches de notification de réseaux à satellite</w:t>
            </w:r>
          </w:p>
        </w:tc>
        <w:tc>
          <w:tcPr>
            <w:tcW w:w="1814"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jc w:val="center"/>
              <w:rPr>
                <w:sz w:val="24"/>
                <w:szCs w:val="24"/>
                <w:lang w:eastAsia="ja-JP"/>
              </w:rPr>
            </w:pPr>
            <w:r w:rsidRPr="00F536DB">
              <w:rPr>
                <w:sz w:val="24"/>
                <w:szCs w:val="24"/>
              </w:rPr>
              <w:t>A</w:t>
            </w:r>
            <w:r w:rsidRPr="00F536DB">
              <w:rPr>
                <w:rFonts w:hint="eastAsia"/>
                <w:sz w:val="24"/>
                <w:szCs w:val="24"/>
                <w:lang w:eastAsia="ja-JP"/>
              </w:rPr>
              <w:t>21</w:t>
            </w:r>
            <w:r w:rsidRPr="00F536DB">
              <w:rPr>
                <w:sz w:val="24"/>
                <w:szCs w:val="24"/>
              </w:rPr>
              <w:t>-A</w:t>
            </w:r>
            <w:r w:rsidRPr="00F536DB">
              <w:rPr>
                <w:rFonts w:hint="eastAsia"/>
                <w:sz w:val="24"/>
                <w:szCs w:val="24"/>
                <w:lang w:eastAsia="ja-JP"/>
              </w:rPr>
              <w:t>2</w:t>
            </w:r>
          </w:p>
        </w:tc>
      </w:tr>
      <w:tr w:rsidR="00B97132" w:rsidRPr="00F536DB" w:rsidTr="00EC7F53">
        <w:trPr>
          <w:jc w:val="center"/>
        </w:trPr>
        <w:tc>
          <w:tcPr>
            <w:tcW w:w="830"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jc w:val="center"/>
              <w:rPr>
                <w:sz w:val="24"/>
                <w:szCs w:val="24"/>
              </w:rPr>
            </w:pPr>
            <w:r w:rsidRPr="00F536DB">
              <w:rPr>
                <w:sz w:val="24"/>
                <w:szCs w:val="24"/>
              </w:rPr>
              <w:t>K</w:t>
            </w:r>
          </w:p>
        </w:tc>
        <w:tc>
          <w:tcPr>
            <w:tcW w:w="6656"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rPr>
                <w:sz w:val="24"/>
                <w:szCs w:val="24"/>
                <w:lang w:val="fr-CH"/>
              </w:rPr>
            </w:pPr>
            <w:r w:rsidRPr="00F536DB">
              <w:rPr>
                <w:rFonts w:eastAsiaTheme="minorEastAsia"/>
                <w:snapToGrid w:val="0"/>
                <w:sz w:val="24"/>
                <w:szCs w:val="24"/>
                <w:lang w:val="fr-CH" w:eastAsia="ja-JP"/>
              </w:rPr>
              <w:t>Question K – Adjonction d'une disposition réglementaire dans l'Article 11 du RR concernant les cas d'échec de lancement</w:t>
            </w:r>
          </w:p>
        </w:tc>
        <w:tc>
          <w:tcPr>
            <w:tcW w:w="1814" w:type="dxa"/>
            <w:tcBorders>
              <w:top w:val="single" w:sz="4" w:space="0" w:color="auto"/>
              <w:left w:val="single" w:sz="4" w:space="0" w:color="auto"/>
              <w:bottom w:val="single" w:sz="4" w:space="0" w:color="auto"/>
              <w:right w:val="single" w:sz="4" w:space="0" w:color="auto"/>
            </w:tcBorders>
            <w:hideMark/>
          </w:tcPr>
          <w:p w:rsidR="00B97132" w:rsidRPr="00F536DB" w:rsidRDefault="00B97132" w:rsidP="00EC7F53">
            <w:pPr>
              <w:pStyle w:val="Tabletext"/>
              <w:jc w:val="center"/>
              <w:rPr>
                <w:sz w:val="24"/>
                <w:szCs w:val="24"/>
                <w:lang w:eastAsia="ja-JP"/>
              </w:rPr>
            </w:pPr>
            <w:r w:rsidRPr="00F536DB">
              <w:rPr>
                <w:sz w:val="24"/>
                <w:szCs w:val="24"/>
              </w:rPr>
              <w:t>A</w:t>
            </w:r>
            <w:r w:rsidRPr="00F536DB">
              <w:rPr>
                <w:rFonts w:hint="eastAsia"/>
                <w:sz w:val="24"/>
                <w:szCs w:val="24"/>
                <w:lang w:eastAsia="ja-JP"/>
              </w:rPr>
              <w:t>21</w:t>
            </w:r>
            <w:r w:rsidRPr="00F536DB">
              <w:rPr>
                <w:sz w:val="24"/>
                <w:szCs w:val="24"/>
              </w:rPr>
              <w:t>-A</w:t>
            </w:r>
            <w:r w:rsidRPr="00F536DB">
              <w:rPr>
                <w:rFonts w:hint="eastAsia"/>
                <w:sz w:val="24"/>
                <w:szCs w:val="24"/>
                <w:lang w:eastAsia="ja-JP"/>
              </w:rPr>
              <w:t>3</w:t>
            </w:r>
          </w:p>
        </w:tc>
      </w:tr>
    </w:tbl>
    <w:p w:rsidR="00B97132" w:rsidRPr="00F536DB" w:rsidRDefault="00B97132" w:rsidP="0032202E">
      <w:pPr>
        <w:pStyle w:val="Reasons"/>
      </w:pPr>
    </w:p>
    <w:p w:rsidR="00B97132" w:rsidRDefault="00B97132">
      <w:pPr>
        <w:jc w:val="center"/>
      </w:pPr>
      <w:r w:rsidRPr="00F536DB">
        <w:t>______________</w:t>
      </w:r>
    </w:p>
    <w:p w:rsidR="003A583E" w:rsidRPr="00B97132" w:rsidRDefault="003A583E" w:rsidP="00786598">
      <w:pPr>
        <w:rPr>
          <w:lang w:val="fr-CH"/>
        </w:rPr>
      </w:pPr>
    </w:p>
    <w:sectPr w:rsidR="003A583E" w:rsidRPr="00B97132">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6B" w:rsidRDefault="00D8746B">
      <w:r>
        <w:separator/>
      </w:r>
    </w:p>
  </w:endnote>
  <w:endnote w:type="continuationSeparator" w:id="0">
    <w:p w:rsidR="00D8746B" w:rsidRDefault="00D8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536DB">
      <w:rPr>
        <w:noProof/>
      </w:rPr>
      <w:t>27.10.15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r>
      <w:rPr>
        <w:lang w:val="en-US"/>
      </w:rPr>
      <w:tab/>
    </w:r>
    <w:r>
      <w:fldChar w:fldCharType="begin"/>
    </w:r>
    <w:r>
      <w:instrText xml:space="preserve"> SAVEDATE \@ DD.MM.YY </w:instrText>
    </w:r>
    <w:r>
      <w:fldChar w:fldCharType="separate"/>
    </w:r>
    <w:r w:rsidR="00F536DB">
      <w:t>27.10.15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DA161F">
    <w:pPr>
      <w:pStyle w:val="Footer"/>
      <w:rPr>
        <w:lang w:val="en-US"/>
      </w:rPr>
    </w:pPr>
    <w:r>
      <w:fldChar w:fldCharType="begin"/>
    </w:r>
    <w:r>
      <w:rPr>
        <w:lang w:val="en-US"/>
      </w:rPr>
      <w:instrText xml:space="preserve"> FILENAME \p  \* MERGEFORMAT </w:instrText>
    </w:r>
    <w:r>
      <w:fldChar w:fldCharType="separate"/>
    </w:r>
    <w:r w:rsidR="000543F3">
      <w:rPr>
        <w:lang w:val="en-US"/>
      </w:rPr>
      <w:t>P:\FRA\ITU-R\CONF-R\CMR15\100\103ADD21F.docx</w:t>
    </w:r>
    <w:r>
      <w:fldChar w:fldCharType="end"/>
    </w:r>
    <w:r w:rsidR="00DA161F">
      <w:t xml:space="preserve"> (388820)</w:t>
    </w:r>
    <w:r>
      <w:rPr>
        <w:lang w:val="en-US"/>
      </w:rPr>
      <w:tab/>
    </w:r>
    <w:r>
      <w:fldChar w:fldCharType="begin"/>
    </w:r>
    <w:r>
      <w:instrText xml:space="preserve"> SAVEDATE \@ DD.MM.YY </w:instrText>
    </w:r>
    <w:r>
      <w:fldChar w:fldCharType="separate"/>
    </w:r>
    <w:r w:rsidR="00F536DB">
      <w:t>27.10.15</w:t>
    </w:r>
    <w:r>
      <w:fldChar w:fldCharType="end"/>
    </w:r>
    <w:r>
      <w:rPr>
        <w:lang w:val="en-US"/>
      </w:rPr>
      <w:tab/>
    </w:r>
    <w:r w:rsidR="00DA161F">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6B" w:rsidRDefault="00D8746B">
      <w:r>
        <w:rPr>
          <w:b/>
        </w:rPr>
        <w:t>_______________</w:t>
      </w:r>
    </w:p>
  </w:footnote>
  <w:footnote w:type="continuationSeparator" w:id="0">
    <w:p w:rsidR="00D8746B" w:rsidRDefault="00D8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97132">
      <w:rPr>
        <w:noProof/>
      </w:rPr>
      <w:t>2</w:t>
    </w:r>
    <w:r>
      <w:fldChar w:fldCharType="end"/>
    </w:r>
  </w:p>
  <w:p w:rsidR="004F1F8E" w:rsidRDefault="004F1F8E" w:rsidP="002C28A4">
    <w:pPr>
      <w:pStyle w:val="Header"/>
    </w:pPr>
    <w:r>
      <w:t>CMR1</w:t>
    </w:r>
    <w:r w:rsidR="002C28A4">
      <w:t>5</w:t>
    </w:r>
    <w:r>
      <w:t>/</w:t>
    </w:r>
    <w:r w:rsidR="006A4B45">
      <w:t>103(Add.21)-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43F3"/>
    <w:rsid w:val="00080E2C"/>
    <w:rsid w:val="000A4755"/>
    <w:rsid w:val="000B2E0C"/>
    <w:rsid w:val="000B3D0C"/>
    <w:rsid w:val="000E034E"/>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233DE"/>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97132"/>
    <w:rsid w:val="00BA5BD0"/>
    <w:rsid w:val="00BB1D82"/>
    <w:rsid w:val="00BF26E7"/>
    <w:rsid w:val="00C05323"/>
    <w:rsid w:val="00C53FCA"/>
    <w:rsid w:val="00C76BAF"/>
    <w:rsid w:val="00C814B9"/>
    <w:rsid w:val="00CD516F"/>
    <w:rsid w:val="00D119A7"/>
    <w:rsid w:val="00D25FBA"/>
    <w:rsid w:val="00D32B28"/>
    <w:rsid w:val="00D42954"/>
    <w:rsid w:val="00D66EAC"/>
    <w:rsid w:val="00D730DF"/>
    <w:rsid w:val="00D772F0"/>
    <w:rsid w:val="00D77BDC"/>
    <w:rsid w:val="00D8746B"/>
    <w:rsid w:val="00DA161F"/>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536D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7E24F8B-B8A0-48CC-B648-2602C1DB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1FD76-F9BD-4CDF-83F9-333F45125CD2}">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996b2e75-67fd-4955-a3b0-5ab9934cb50b"/>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R15-WRC15-C-0103!A21!MSW-F</vt:lpstr>
    </vt:vector>
  </TitlesOfParts>
  <Manager>Secrétariat général - Pool</Manager>
  <Company>Union internationale des télécommunications (UIT)</Company>
  <LinksUpToDate>false</LinksUpToDate>
  <CharactersWithSpaces>1598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R15-WRC15-C-0103!A21!MSW-F</dc:title>
  <dc:subject>Conférence mondiale des radiocommunications - 2015</dc:subject>
  <dc:creator>Documents Proposals Manager (DPM)</dc:creator>
  <cp:keywords>DPM_v5.2015.10.230_prod</cp:keywords>
  <dc:description/>
  <cp:lastModifiedBy>Joly,Alice</cp:lastModifiedBy>
  <cp:revision>4</cp:revision>
  <cp:lastPrinted>2003-06-05T19:34:00Z</cp:lastPrinted>
  <dcterms:created xsi:type="dcterms:W3CDTF">2015-10-28T09:18:00Z</dcterms:created>
  <dcterms:modified xsi:type="dcterms:W3CDTF">2015-10-28T09:18:00Z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