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794802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794802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9480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79480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94802" w:rsidRDefault="003E1608" w:rsidP="00633005">
            <w:pPr>
              <w:pStyle w:val="Adress"/>
              <w:framePr w:hSpace="0" w:wrap="auto" w:xAlign="left" w:yAlign="inline"/>
              <w:rPr>
                <w:rtl/>
              </w:rPr>
            </w:pPr>
            <w:r w:rsidRPr="00794802">
              <w:rPr>
                <w:rtl/>
              </w:rPr>
              <w:t xml:space="preserve">الإضافة </w:t>
            </w:r>
            <w:r w:rsidRPr="00794802">
              <w:t>1</w:t>
            </w:r>
            <w:r w:rsidRPr="00794802">
              <w:br/>
            </w:r>
            <w:r w:rsidRPr="00794802">
              <w:rPr>
                <w:rtl/>
              </w:rPr>
              <w:t xml:space="preserve">للوثيقة </w:t>
            </w:r>
            <w:r w:rsidR="00794802">
              <w:t>103(Add.21)-A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9480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9480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94802">
              <w:rPr>
                <w:rFonts w:eastAsia="SimSun"/>
              </w:rPr>
              <w:t>19</w:t>
            </w:r>
            <w:r w:rsidRPr="00794802">
              <w:rPr>
                <w:rFonts w:eastAsia="SimSun"/>
                <w:rtl/>
              </w:rPr>
              <w:t xml:space="preserve"> أكتوبر </w:t>
            </w:r>
            <w:r w:rsidRPr="0079480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9480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9480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9480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اليابان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94802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9480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94802">
              <w:t>(C)7</w:t>
            </w:r>
            <w:r w:rsidR="00794802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C851D1" w:rsidP="0063300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633005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633005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633005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633005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286158" w:rsidRPr="00431196" w:rsidRDefault="00C851D1" w:rsidP="00A31842">
      <w:pPr>
        <w:rPr>
          <w:rFonts w:eastAsia="SimSun"/>
        </w:rPr>
      </w:pPr>
      <w:r w:rsidRPr="00431196">
        <w:rPr>
          <w:rFonts w:eastAsia="SimSun"/>
        </w:rPr>
        <w:t>(C)7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C</w:t>
      </w:r>
      <w:r w:rsidRPr="00431196">
        <w:rPr>
          <w:rFonts w:eastAsia="SimSun"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II</w:t>
      </w:r>
      <w:r w:rsidRPr="00431196">
        <w:rPr>
          <w:rFonts w:eastAsia="SimSun" w:hint="cs"/>
          <w:rtl/>
        </w:rPr>
        <w:t xml:space="preserve"> من المادة </w:t>
      </w:r>
      <w:r w:rsidRPr="00431196">
        <w:rPr>
          <w:rFonts w:eastAsia="SimSun"/>
          <w:b/>
          <w:bCs/>
        </w:rPr>
        <w:t>9</w:t>
      </w:r>
      <w:r w:rsidRPr="00431196">
        <w:rPr>
          <w:rFonts w:eastAsia="SimSun" w:hint="cs"/>
          <w:rtl/>
        </w:rPr>
        <w:t xml:space="preserve"> من لوائح الراديو</w:t>
      </w:r>
    </w:p>
    <w:p w:rsidR="00F16602" w:rsidRPr="00204365" w:rsidRDefault="00860627" w:rsidP="00204365">
      <w:pPr>
        <w:pStyle w:val="Headingb"/>
      </w:pPr>
      <w:r w:rsidRPr="00204365">
        <w:rPr>
          <w:rFonts w:hint="cs"/>
          <w:rtl/>
        </w:rPr>
        <w:t>مقدمة</w:t>
      </w:r>
    </w:p>
    <w:p w:rsidR="00F146BD" w:rsidRDefault="00A75D04" w:rsidP="00204365">
      <w:pPr>
        <w:rPr>
          <w:rtl/>
          <w:lang w:bidi="ar"/>
        </w:rPr>
      </w:pPr>
      <w:r>
        <w:rPr>
          <w:rFonts w:hint="cs"/>
          <w:rtl/>
          <w:lang w:bidi="ar-EG"/>
        </w:rPr>
        <w:t>بما</w:t>
      </w:r>
      <w:r w:rsidR="00F146BD">
        <w:rPr>
          <w:rFonts w:hint="cs"/>
          <w:rtl/>
          <w:lang w:bidi="ar-EG"/>
        </w:rPr>
        <w:t xml:space="preserve"> أن لوائح الراديو تتضمن أحكاماً كثيرة تستند إلى آلية معلومات النشر المسبق</w:t>
      </w:r>
      <w:r w:rsidR="00204365">
        <w:rPr>
          <w:rFonts w:hint="eastAsia"/>
          <w:rtl/>
          <w:lang w:bidi="ar-EG"/>
        </w:rPr>
        <w:t> </w:t>
      </w:r>
      <w:r w:rsidR="00204365">
        <w:rPr>
          <w:lang w:bidi="ar-EG"/>
        </w:rPr>
        <w:t>(</w:t>
      </w:r>
      <w:r w:rsidR="00F146BD">
        <w:rPr>
          <w:rFonts w:hint="eastAsia"/>
          <w:lang w:eastAsia="ja-JP"/>
        </w:rPr>
        <w:t>API</w:t>
      </w:r>
      <w:r w:rsidR="00204365">
        <w:rPr>
          <w:lang w:eastAsia="ja-JP"/>
        </w:rPr>
        <w:t>)</w:t>
      </w:r>
      <w:r w:rsidR="00F146BD">
        <w:rPr>
          <w:rFonts w:hint="cs"/>
          <w:rtl/>
          <w:lang w:eastAsia="ja-JP"/>
        </w:rPr>
        <w:t xml:space="preserve">، فإن تغيير هذه الأحكام سيكون له أثر جسيم على لوائح الراديو. </w:t>
      </w:r>
      <w:r>
        <w:rPr>
          <w:rFonts w:hint="cs"/>
          <w:rtl/>
          <w:lang w:eastAsia="ja-JP"/>
        </w:rPr>
        <w:t>إضافةً إلى ذلك، سيساعد</w:t>
      </w:r>
      <w:r w:rsidR="00F146BD">
        <w:rPr>
          <w:rFonts w:hint="cs"/>
          <w:rtl/>
          <w:lang w:eastAsia="ja-JP"/>
        </w:rPr>
        <w:t xml:space="preserve"> </w:t>
      </w:r>
      <w:r w:rsidR="00F146BD" w:rsidRPr="00F146BD">
        <w:rPr>
          <w:rFonts w:hint="cs"/>
          <w:rtl/>
          <w:lang w:bidi="ar"/>
        </w:rPr>
        <w:t>إلغاء</w:t>
      </w:r>
      <w:r w:rsidR="00F146BD" w:rsidRPr="00F146BD">
        <w:rPr>
          <w:rtl/>
          <w:lang w:bidi="ar"/>
        </w:rPr>
        <w:t xml:space="preserve"> الفترة التي لا</w:t>
      </w:r>
      <w:r w:rsidR="00204365">
        <w:rPr>
          <w:rFonts w:hint="cs"/>
          <w:rtl/>
          <w:lang w:bidi="ar"/>
        </w:rPr>
        <w:t> </w:t>
      </w:r>
      <w:r w:rsidR="00F146BD" w:rsidRPr="00F146BD">
        <w:rPr>
          <w:rtl/>
          <w:lang w:bidi="ar"/>
        </w:rPr>
        <w:t>تقل عن ستة</w:t>
      </w:r>
      <w:r w:rsidR="00204365">
        <w:rPr>
          <w:rFonts w:hint="cs"/>
          <w:rtl/>
          <w:lang w:bidi="ar"/>
        </w:rPr>
        <w:t> </w:t>
      </w:r>
      <w:r w:rsidR="00F146BD" w:rsidRPr="00F146BD">
        <w:rPr>
          <w:rtl/>
          <w:lang w:bidi="ar"/>
        </w:rPr>
        <w:t>أشهر</w:t>
      </w:r>
      <w:r w:rsidR="00F146BD" w:rsidRPr="00F146BD">
        <w:rPr>
          <w:rFonts w:hint="cs"/>
          <w:rtl/>
          <w:lang w:bidi="ar"/>
        </w:rPr>
        <w:t xml:space="preserve"> بين تاريخ استلام معلومات النشر المسبق وتاريخ إمكانية استلام طلب التنسيق المرتبط بها </w:t>
      </w:r>
      <w:r w:rsidR="00F146BD">
        <w:rPr>
          <w:rFonts w:hint="cs"/>
          <w:rtl/>
          <w:lang w:bidi="ar"/>
        </w:rPr>
        <w:t>على النظر في تفاصيل الشبكة الساتلية قبل</w:t>
      </w:r>
      <w:r>
        <w:rPr>
          <w:rFonts w:hint="cs"/>
          <w:rtl/>
          <w:lang w:bidi="ar"/>
        </w:rPr>
        <w:t xml:space="preserve"> تقديم طلب</w:t>
      </w:r>
      <w:r w:rsidR="00204365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التنسيق</w:t>
      </w:r>
      <w:r w:rsidR="00F146BD" w:rsidRPr="00F146BD">
        <w:rPr>
          <w:rFonts w:hint="cs"/>
          <w:rtl/>
          <w:lang w:bidi="ar"/>
        </w:rPr>
        <w:t>.</w:t>
      </w:r>
    </w:p>
    <w:p w:rsidR="00A75D04" w:rsidRPr="00A75D04" w:rsidRDefault="00A75D04" w:rsidP="00204365">
      <w:pPr>
        <w:rPr>
          <w:rtl/>
          <w:lang w:bidi="ar"/>
        </w:rPr>
      </w:pPr>
      <w:r>
        <w:rPr>
          <w:rFonts w:hint="cs"/>
          <w:rtl/>
          <w:lang w:bidi="ar"/>
        </w:rPr>
        <w:t>وبناءً عليه، تؤيد اليابان الأسلوب</w:t>
      </w:r>
      <w:r w:rsidR="00204365">
        <w:rPr>
          <w:rFonts w:hint="eastAsia"/>
          <w:rtl/>
          <w:lang w:bidi="ar"/>
        </w:rPr>
        <w:t> </w:t>
      </w:r>
      <w:r>
        <w:rPr>
          <w:rFonts w:hint="eastAsia"/>
          <w:lang w:eastAsia="ja-JP"/>
        </w:rPr>
        <w:t>C1</w:t>
      </w:r>
      <w:r>
        <w:rPr>
          <w:rFonts w:hint="cs"/>
          <w:rtl/>
          <w:lang w:eastAsia="ja-JP"/>
        </w:rPr>
        <w:t xml:space="preserve"> الذي يقترح عدم إدخال</w:t>
      </w:r>
      <w:r w:rsidR="00204365">
        <w:rPr>
          <w:rFonts w:hint="cs"/>
          <w:rtl/>
          <w:lang w:eastAsia="ja-JP"/>
        </w:rPr>
        <w:t xml:space="preserve"> أيّ تعديلات على لوائح الراديو.</w:t>
      </w:r>
    </w:p>
    <w:p w:rsidR="00204365" w:rsidRDefault="00A75D04" w:rsidP="00204365">
      <w:pPr>
        <w:pStyle w:val="Headingb"/>
        <w:rPr>
          <w:rtl/>
        </w:rPr>
      </w:pPr>
      <w:r w:rsidRPr="00204365">
        <w:rPr>
          <w:rFonts w:hint="cs"/>
          <w:rtl/>
        </w:rPr>
        <w:t>المقترحات</w:t>
      </w:r>
    </w:p>
    <w:p w:rsidR="00204365" w:rsidRDefault="00204365" w:rsidP="00204365">
      <w:pPr>
        <w:tabs>
          <w:tab w:val="clear" w:pos="1134"/>
          <w:tab w:val="left" w:pos="2967"/>
        </w:tabs>
        <w:bidi w:val="0"/>
        <w:spacing w:before="0" w:line="240" w:lineRule="auto"/>
        <w:jc w:val="left"/>
        <w:rPr>
          <w:rFonts w:ascii="Times New Roman Bold" w:hAnsi="Times New Roman Bold"/>
          <w:bCs/>
          <w:kern w:val="14"/>
          <w:sz w:val="24"/>
          <w:szCs w:val="32"/>
          <w:rtl/>
          <w:lang w:bidi="ar-EG"/>
        </w:rPr>
      </w:pPr>
      <w:r>
        <w:rPr>
          <w:rFonts w:ascii="Times New Roman Bold" w:hAnsi="Times New Roman Bold"/>
          <w:bCs/>
          <w:kern w:val="14"/>
          <w:sz w:val="24"/>
          <w:szCs w:val="32"/>
          <w:lang w:bidi="ar-EG"/>
        </w:rPr>
        <w:tab/>
      </w:r>
    </w:p>
    <w:p w:rsidR="004A6718" w:rsidRDefault="00C851D1">
      <w:pPr>
        <w:pStyle w:val="Proposal"/>
      </w:pPr>
      <w:r>
        <w:rPr>
          <w:u w:val="single"/>
        </w:rPr>
        <w:t>NOC</w:t>
      </w:r>
      <w:r>
        <w:tab/>
        <w:t>J/103A21A1/1</w:t>
      </w:r>
    </w:p>
    <w:p w:rsidR="009F37C9" w:rsidRDefault="00C851D1" w:rsidP="00204365">
      <w:pPr>
        <w:pStyle w:val="ArtNo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C851D1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lastRenderedPageBreak/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D03296">
        <w:rPr>
          <w:rStyle w:val="FootnoteReference"/>
          <w:b w:val="0"/>
          <w:bCs w:val="0"/>
          <w:rtl/>
        </w:rPr>
        <w:t>1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2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3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4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5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6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7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2C6AD9">
        <w:rPr>
          <w:rStyle w:val="FootnoteReference"/>
          <w:rFonts w:cs="Traditional Arabic"/>
          <w:b w:val="0"/>
          <w:bCs w:val="0"/>
          <w:i/>
          <w:iCs/>
          <w:rtl/>
        </w:rPr>
        <w:t>مكرراً</w:t>
      </w:r>
      <w:r w:rsidRPr="00D03296">
        <w:rPr>
          <w:rFonts w:hint="cs"/>
          <w:bCs w:val="0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4A6718" w:rsidRDefault="004A6718">
      <w:pPr>
        <w:pStyle w:val="Reasons"/>
        <w:rPr>
          <w:rtl/>
        </w:rPr>
      </w:pPr>
    </w:p>
    <w:p w:rsidR="00C851D1" w:rsidRPr="00C851D1" w:rsidRDefault="00C851D1" w:rsidP="00C851D1">
      <w:pPr>
        <w:spacing w:before="600"/>
        <w:jc w:val="center"/>
      </w:pPr>
      <w:bookmarkStart w:id="3" w:name="_GoBack"/>
      <w:bookmarkEnd w:id="3"/>
      <w:r>
        <w:rPr>
          <w:rtl/>
        </w:rPr>
        <w:t>___________</w:t>
      </w:r>
    </w:p>
    <w:sectPr w:rsidR="00C851D1" w:rsidRPr="00C851D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60627" w:rsidRDefault="00281F5F" w:rsidP="00860627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860627">
      <w:instrText xml:space="preserve"> FILENAME \p \* MERGEFORMAT </w:instrText>
    </w:r>
    <w:r w:rsidRPr="00CB4300">
      <w:fldChar w:fldCharType="separate"/>
    </w:r>
    <w:r w:rsidR="00204365">
      <w:rPr>
        <w:noProof/>
      </w:rPr>
      <w:t>P:\ARA\ITU-R\CONF-R\CMR15\100\103ADD21ADD01A.docx</w:t>
    </w:r>
    <w:r w:rsidRPr="00CB4300">
      <w:fldChar w:fldCharType="end"/>
    </w:r>
    <w:r w:rsidRPr="00860627">
      <w:t xml:space="preserve">  (</w:t>
    </w:r>
    <w:r w:rsidR="00860627" w:rsidRPr="00860627">
      <w:t>388836</w:t>
    </w:r>
    <w:r w:rsidRPr="00860627">
      <w:t>)</w:t>
    </w:r>
    <w:r w:rsidRPr="00860627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04365">
      <w:rPr>
        <w:noProof/>
      </w:rPr>
      <w:t>01.11.15</w:t>
    </w:r>
    <w:r w:rsidRPr="00CB4300">
      <w:fldChar w:fldCharType="end"/>
    </w:r>
    <w:r w:rsidRPr="00860627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04365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60627" w:rsidRDefault="00281F5F" w:rsidP="00860627">
    <w:pPr>
      <w:pStyle w:val="Footer"/>
    </w:pPr>
    <w:r>
      <w:fldChar w:fldCharType="begin"/>
    </w:r>
    <w:r w:rsidRPr="00860627">
      <w:instrText xml:space="preserve"> FILENAME \p \* MERGEFORMAT </w:instrText>
    </w:r>
    <w:r>
      <w:fldChar w:fldCharType="separate"/>
    </w:r>
    <w:r w:rsidR="00204365">
      <w:rPr>
        <w:noProof/>
      </w:rPr>
      <w:t>P:\ARA\ITU-R\CONF-R\CMR15\100\103ADD21ADD01A.docx</w:t>
    </w:r>
    <w:r>
      <w:fldChar w:fldCharType="end"/>
    </w:r>
    <w:r w:rsidRPr="00860627">
      <w:t xml:space="preserve">   (</w:t>
    </w:r>
    <w:r w:rsidR="00860627">
      <w:t>388836</w:t>
    </w:r>
    <w:r w:rsidRPr="00860627">
      <w:t>)</w:t>
    </w:r>
    <w:r w:rsidRPr="0086062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04365">
      <w:rPr>
        <w:noProof/>
      </w:rPr>
      <w:t>01.11.15</w:t>
    </w:r>
    <w:r w:rsidRPr="00B12661">
      <w:fldChar w:fldCharType="end"/>
    </w:r>
    <w:r w:rsidRPr="0086062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04365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0436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103(Add.21)(Add.1)-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4365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6AD9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718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300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802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0627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5D04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0ABD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51D1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6B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55C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AECE4E7-80B9-4B1F-AD94-044B13C7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F2677-8EB0-44AD-A19E-5F0B28E2A682}">
  <ds:schemaRefs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E8E810-A487-44A0-97F3-CAA3AE8E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R15-WRC15-C-0103!A21-A1!MSW-A</vt:lpstr>
    </vt:vector>
  </TitlesOfParts>
  <Manager>General Secretariat - Pool</Manager>
  <Company>International Telecommunication Union (ITU)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R15-WRC15-C-0103!A21-A1!MSW-A</dc:title>
  <dc:creator>Documents Proposals Manager (DPM)</dc:creator>
  <cp:keywords>DPM_v5.2015.10.230_prod</cp:keywords>
  <cp:lastModifiedBy>Alnatoor, Ehsan</cp:lastModifiedBy>
  <cp:revision>3</cp:revision>
  <cp:lastPrinted>2015-10-31T23:57:00Z</cp:lastPrinted>
  <dcterms:created xsi:type="dcterms:W3CDTF">2015-10-31T23:53:00Z</dcterms:created>
  <dcterms:modified xsi:type="dcterms:W3CDTF">2015-10-31T23:57:00Z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