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9F4BAA" w:rsidP="00461FA7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+</w:t>
            </w:r>
            <w:r w:rsidR="00461FA7"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="00461FA7" w:rsidRPr="00584333">
              <w:t>(WRC-1</w:t>
            </w:r>
            <w:r w:rsidR="00461FA7">
              <w:t>5</w:t>
            </w:r>
            <w:r w:rsidR="00461FA7"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6657DD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6657DD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6657D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6657DD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657DD" w:rsidRDefault="003E1608" w:rsidP="006657DD">
            <w:pPr>
              <w:pStyle w:val="Adress"/>
              <w:framePr w:hSpace="0" w:wrap="auto" w:xAlign="left" w:yAlign="inline"/>
              <w:rPr>
                <w:rtl/>
              </w:rPr>
            </w:pPr>
            <w:r w:rsidRPr="006657DD">
              <w:rPr>
                <w:rtl/>
              </w:rPr>
              <w:t xml:space="preserve">الإضافة </w:t>
            </w:r>
            <w:r w:rsidRPr="006657DD">
              <w:t>3</w:t>
            </w:r>
            <w:r w:rsidRPr="006657DD">
              <w:br/>
            </w:r>
            <w:r w:rsidRPr="006657DD">
              <w:rPr>
                <w:rtl/>
              </w:rPr>
              <w:t xml:space="preserve">للوثيقة </w:t>
            </w:r>
            <w:r w:rsidRPr="006657DD">
              <w:t>103(Add.21)-</w:t>
            </w:r>
            <w:r w:rsidR="006657DD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6657D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657D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6657DD">
              <w:rPr>
                <w:rFonts w:eastAsia="SimSun"/>
              </w:rPr>
              <w:t>19</w:t>
            </w:r>
            <w:r w:rsidRPr="006657DD">
              <w:rPr>
                <w:rFonts w:eastAsia="SimSun"/>
                <w:rtl/>
              </w:rPr>
              <w:t xml:space="preserve"> أكتوبر </w:t>
            </w:r>
            <w:r w:rsidRPr="006657D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6657D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657D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657DD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اليابان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657DD" w:rsidP="006657DD">
            <w:pPr>
              <w:pStyle w:val="Title1"/>
              <w:spacing w:before="240" w:line="240" w:lineRule="auto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6657D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6657DD">
              <w:t>(K)7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8E6BEB" w:rsidP="00207D05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207D05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</w:t>
      </w:r>
      <w:r w:rsidR="00207D05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207D05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207D05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534840" w:rsidRPr="00431196" w:rsidRDefault="008E6BEB" w:rsidP="009F4BAA">
      <w:pPr>
        <w:rPr>
          <w:rFonts w:eastAsia="SimSun"/>
          <w:spacing w:val="2"/>
          <w:lang w:bidi="ar-EG"/>
        </w:rPr>
      </w:pPr>
      <w:r w:rsidRPr="00431196">
        <w:rPr>
          <w:rFonts w:eastAsia="SimSun"/>
        </w:rPr>
        <w:t>(K)7</w:t>
      </w:r>
      <w:r w:rsidRPr="00431196">
        <w:rPr>
          <w:rFonts w:eastAsia="SimSun"/>
          <w:lang w:bidi="ar-EG"/>
        </w:rPr>
        <w:tab/>
      </w:r>
      <w:r w:rsidRPr="00431196">
        <w:rPr>
          <w:rFonts w:eastAsia="SimSun" w:hint="cs"/>
          <w:spacing w:val="2"/>
          <w:rtl/>
          <w:lang w:bidi="ar-EG"/>
        </w:rPr>
        <w:t>المسألة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/>
          <w:spacing w:val="2"/>
          <w:lang w:bidi="ar-SY"/>
        </w:rPr>
        <w:t>K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>-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 xml:space="preserve">إضافة حكم تنظيمي إلى المادة </w:t>
      </w:r>
      <w:r w:rsidRPr="00431196">
        <w:rPr>
          <w:rFonts w:eastAsia="SimSun"/>
          <w:b/>
          <w:bCs/>
          <w:spacing w:val="2"/>
          <w:lang w:bidi="ar-EG"/>
        </w:rPr>
        <w:t>11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="009F4BAA" w:rsidRPr="00431196">
        <w:rPr>
          <w:rFonts w:eastAsia="SimSun" w:hint="cs"/>
          <w:spacing w:val="2"/>
          <w:rtl/>
          <w:lang w:bidi="ar-EG"/>
        </w:rPr>
        <w:t xml:space="preserve">من لوائح الراديو </w:t>
      </w:r>
      <w:r w:rsidRPr="00431196">
        <w:rPr>
          <w:rFonts w:eastAsia="SimSun" w:hint="cs"/>
          <w:spacing w:val="2"/>
          <w:rtl/>
          <w:lang w:bidi="ar-EG"/>
        </w:rPr>
        <w:t>فيما يتعلق بحالة فشل الإطلاق</w:t>
      </w:r>
    </w:p>
    <w:p w:rsidR="00F16602" w:rsidRDefault="0078552E" w:rsidP="0078552E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9F4BAA" w:rsidRDefault="009F4BAA" w:rsidP="009F4BAA">
      <w:pPr>
        <w:rPr>
          <w:rFonts w:eastAsia="SimSun"/>
          <w:spacing w:val="2"/>
          <w:rtl/>
          <w:lang w:bidi="ar-EG"/>
        </w:rPr>
      </w:pPr>
      <w:r>
        <w:rPr>
          <w:rFonts w:hint="cs"/>
          <w:rtl/>
        </w:rPr>
        <w:t xml:space="preserve">يقترح الأسلوبان </w:t>
      </w:r>
      <w:r>
        <w:t>K1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K2</w:t>
      </w:r>
      <w:r>
        <w:rPr>
          <w:rFonts w:hint="cs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 xml:space="preserve">إضافة </w:t>
      </w:r>
      <w:r>
        <w:rPr>
          <w:rFonts w:eastAsia="SimSun" w:hint="cs"/>
          <w:spacing w:val="2"/>
          <w:rtl/>
          <w:lang w:bidi="ar-EG"/>
        </w:rPr>
        <w:t>أحكام تنظيمية جديدة</w:t>
      </w:r>
      <w:r w:rsidRPr="00431196">
        <w:rPr>
          <w:rFonts w:eastAsia="SimSun" w:hint="cs"/>
          <w:spacing w:val="2"/>
          <w:rtl/>
          <w:lang w:bidi="ar-EG"/>
        </w:rPr>
        <w:t xml:space="preserve"> إلى المادة </w:t>
      </w:r>
      <w:r w:rsidRPr="00431196">
        <w:rPr>
          <w:rFonts w:eastAsia="SimSun"/>
          <w:b/>
          <w:bCs/>
          <w:spacing w:val="2"/>
          <w:lang w:bidi="ar-EG"/>
        </w:rPr>
        <w:t>11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>من لوائح الراديو</w:t>
      </w:r>
      <w:r w:rsidR="00472A87">
        <w:rPr>
          <w:rFonts w:eastAsia="SimSun" w:hint="eastAsia"/>
          <w:spacing w:val="2"/>
          <w:rtl/>
          <w:lang w:bidi="ar-EG"/>
        </w:rPr>
        <w:t> </w:t>
      </w:r>
      <w:r w:rsidR="00472A87">
        <w:rPr>
          <w:rFonts w:eastAsia="SimSun"/>
          <w:spacing w:val="2"/>
          <w:lang w:bidi="ar-EG"/>
        </w:rPr>
        <w:t>(RR)</w:t>
      </w:r>
      <w:bookmarkStart w:id="1" w:name="_GoBack"/>
      <w:bookmarkEnd w:id="1"/>
      <w:r w:rsidRPr="00431196">
        <w:rPr>
          <w:rFonts w:eastAsia="SimSun" w:hint="cs"/>
          <w:spacing w:val="2"/>
          <w:rtl/>
          <w:lang w:bidi="ar-EG"/>
        </w:rPr>
        <w:t xml:space="preserve"> </w:t>
      </w:r>
      <w:r>
        <w:rPr>
          <w:rFonts w:eastAsia="SimSun" w:hint="cs"/>
          <w:spacing w:val="2"/>
          <w:rtl/>
          <w:lang w:bidi="ar-EG"/>
        </w:rPr>
        <w:t>لمعالجة حالات</w:t>
      </w:r>
      <w:r w:rsidRPr="00431196">
        <w:rPr>
          <w:rFonts w:eastAsia="SimSun" w:hint="cs"/>
          <w:spacing w:val="2"/>
          <w:rtl/>
          <w:lang w:bidi="ar-EG"/>
        </w:rPr>
        <w:t xml:space="preserve"> فشل الإطلاق</w:t>
      </w:r>
      <w:r>
        <w:rPr>
          <w:rFonts w:eastAsia="SimSun" w:hint="cs"/>
          <w:spacing w:val="2"/>
          <w:rtl/>
          <w:lang w:bidi="ar-EG"/>
        </w:rPr>
        <w:t xml:space="preserve">. ويقترح الأسلوب </w:t>
      </w:r>
      <w:r>
        <w:rPr>
          <w:rFonts w:eastAsia="SimSun"/>
          <w:spacing w:val="2"/>
          <w:lang w:bidi="ar-EG"/>
        </w:rPr>
        <w:t>K3</w:t>
      </w:r>
      <w:r>
        <w:rPr>
          <w:rFonts w:eastAsia="SimSun" w:hint="cs"/>
          <w:spacing w:val="2"/>
          <w:rtl/>
          <w:lang w:bidi="ar-EG"/>
        </w:rPr>
        <w:t xml:space="preserve"> عدم إدخال تغييرات </w:t>
      </w:r>
      <w:r>
        <w:rPr>
          <w:rFonts w:eastAsia="SimSun"/>
          <w:spacing w:val="2"/>
          <w:lang w:bidi="ar-EG"/>
        </w:rPr>
        <w:t>(NOC)</w:t>
      </w:r>
      <w:r>
        <w:rPr>
          <w:rFonts w:eastAsia="SimSun" w:hint="cs"/>
          <w:spacing w:val="2"/>
          <w:rtl/>
          <w:lang w:bidi="ar-EG"/>
        </w:rPr>
        <w:t xml:space="preserve"> على لوائح الراديو.</w:t>
      </w:r>
    </w:p>
    <w:p w:rsidR="009F4BAA" w:rsidRDefault="009F4BAA" w:rsidP="00472A87">
      <w:pPr>
        <w:rPr>
          <w:rFonts w:eastAsia="SimSun"/>
          <w:spacing w:val="2"/>
          <w:rtl/>
          <w:lang w:bidi="ar-EG"/>
        </w:rPr>
      </w:pPr>
      <w:r>
        <w:rPr>
          <w:rFonts w:eastAsia="SimSun" w:hint="cs"/>
          <w:spacing w:val="2"/>
          <w:rtl/>
          <w:lang w:bidi="ar-EG"/>
        </w:rPr>
        <w:t xml:space="preserve">وفي إطار الأسلوبين </w:t>
      </w:r>
      <w:r>
        <w:rPr>
          <w:rFonts w:eastAsia="SimSun"/>
          <w:spacing w:val="2"/>
          <w:lang w:bidi="ar-EG"/>
        </w:rPr>
        <w:t>K1</w:t>
      </w:r>
      <w:r>
        <w:rPr>
          <w:rFonts w:eastAsia="SimSun" w:hint="cs"/>
          <w:spacing w:val="2"/>
          <w:rtl/>
          <w:lang w:bidi="ar-EG"/>
        </w:rPr>
        <w:t xml:space="preserve"> و</w:t>
      </w:r>
      <w:r>
        <w:rPr>
          <w:rFonts w:eastAsia="SimSun"/>
          <w:spacing w:val="2"/>
          <w:lang w:bidi="ar-EG"/>
        </w:rPr>
        <w:t>K2</w:t>
      </w:r>
      <w:r>
        <w:rPr>
          <w:rFonts w:eastAsia="SimSun" w:hint="cs"/>
          <w:spacing w:val="2"/>
          <w:rtl/>
          <w:lang w:bidi="ar-EG"/>
        </w:rPr>
        <w:t>، ستُعالج حالات فشل الإطلاق على أساس كل ح</w:t>
      </w:r>
      <w:r w:rsidR="007451A6">
        <w:rPr>
          <w:rFonts w:eastAsia="SimSun" w:hint="cs"/>
          <w:spacing w:val="2"/>
          <w:rtl/>
          <w:lang w:bidi="ar-EG"/>
        </w:rPr>
        <w:t>الة على حدة. وعلى الرغم من ذلك، قد</w:t>
      </w:r>
      <w:r w:rsidR="00472A87">
        <w:rPr>
          <w:rFonts w:eastAsia="SimSun" w:hint="eastAsia"/>
          <w:spacing w:val="2"/>
          <w:rtl/>
          <w:lang w:bidi="ar-EG"/>
        </w:rPr>
        <w:t> </w:t>
      </w:r>
      <w:r w:rsidR="007451A6">
        <w:rPr>
          <w:rFonts w:eastAsia="SimSun" w:hint="cs"/>
          <w:spacing w:val="2"/>
          <w:rtl/>
          <w:lang w:bidi="ar-EG"/>
        </w:rPr>
        <w:t>لا</w:t>
      </w:r>
      <w:r w:rsidR="00472A87">
        <w:rPr>
          <w:rFonts w:eastAsia="SimSun" w:hint="eastAsia"/>
          <w:spacing w:val="2"/>
          <w:rtl/>
          <w:lang w:bidi="ar-EG"/>
        </w:rPr>
        <w:t> </w:t>
      </w:r>
      <w:r>
        <w:rPr>
          <w:rFonts w:eastAsia="SimSun" w:hint="cs"/>
          <w:spacing w:val="2"/>
          <w:rtl/>
          <w:lang w:bidi="ar-EG"/>
        </w:rPr>
        <w:t xml:space="preserve">تكون فترة تمديد </w:t>
      </w:r>
      <w:r w:rsidR="00C52483">
        <w:rPr>
          <w:rFonts w:eastAsia="SimSun" w:hint="cs"/>
          <w:spacing w:val="2"/>
          <w:rtl/>
          <w:lang w:bidi="ar-EG"/>
        </w:rPr>
        <w:t>المهلة</w:t>
      </w:r>
      <w:r>
        <w:rPr>
          <w:rFonts w:eastAsia="SimSun" w:hint="cs"/>
          <w:spacing w:val="2"/>
          <w:rtl/>
          <w:lang w:bidi="ar-EG"/>
        </w:rPr>
        <w:t xml:space="preserve"> التنظيمية المقترحة في الأسلوب </w:t>
      </w:r>
      <w:r>
        <w:rPr>
          <w:rFonts w:eastAsia="SimSun"/>
          <w:spacing w:val="2"/>
          <w:lang w:bidi="ar-EG"/>
        </w:rPr>
        <w:t>K2</w:t>
      </w:r>
      <w:r>
        <w:rPr>
          <w:rFonts w:eastAsia="SimSun" w:hint="cs"/>
          <w:spacing w:val="2"/>
          <w:rtl/>
          <w:lang w:bidi="ar-EG"/>
        </w:rPr>
        <w:t xml:space="preserve"> كافية. ومن جهة أخرى، يجوز إساء</w:t>
      </w:r>
      <w:r w:rsidR="007451A6">
        <w:rPr>
          <w:rFonts w:eastAsia="SimSun" w:hint="cs"/>
          <w:spacing w:val="2"/>
          <w:rtl/>
          <w:lang w:bidi="ar-EG"/>
        </w:rPr>
        <w:t>ة</w:t>
      </w:r>
      <w:r>
        <w:rPr>
          <w:rFonts w:eastAsia="SimSun" w:hint="cs"/>
          <w:spacing w:val="2"/>
          <w:rtl/>
          <w:lang w:bidi="ar-EG"/>
        </w:rPr>
        <w:t xml:space="preserve"> استخدام الأحكام المقترحة في الأسلوب </w:t>
      </w:r>
      <w:r>
        <w:rPr>
          <w:rFonts w:eastAsia="SimSun"/>
          <w:spacing w:val="2"/>
          <w:lang w:bidi="ar-EG"/>
        </w:rPr>
        <w:t>K1</w:t>
      </w:r>
      <w:r>
        <w:rPr>
          <w:rFonts w:eastAsia="SimSun" w:hint="cs"/>
          <w:spacing w:val="2"/>
          <w:rtl/>
          <w:lang w:bidi="ar-EG"/>
        </w:rPr>
        <w:t>.</w:t>
      </w:r>
    </w:p>
    <w:p w:rsidR="009F4BAA" w:rsidRPr="009F4BAA" w:rsidRDefault="009F4BAA" w:rsidP="009F4BAA">
      <w:pPr>
        <w:rPr>
          <w:rFonts w:eastAsia="SimSun"/>
          <w:spacing w:val="2"/>
          <w:rtl/>
          <w:lang w:bidi="ar-EG"/>
        </w:rPr>
      </w:pPr>
      <w:r>
        <w:rPr>
          <w:rFonts w:eastAsia="SimSun" w:hint="cs"/>
          <w:spacing w:val="2"/>
          <w:rtl/>
          <w:lang w:bidi="ar-EG"/>
        </w:rPr>
        <w:t xml:space="preserve">ولذلك، تؤيد اليابان الأسلوب </w:t>
      </w:r>
      <w:r>
        <w:rPr>
          <w:rFonts w:eastAsia="SimSun"/>
          <w:spacing w:val="2"/>
          <w:lang w:bidi="ar-EG"/>
        </w:rPr>
        <w:t>K3</w:t>
      </w:r>
      <w:r>
        <w:rPr>
          <w:rFonts w:eastAsia="SimSun" w:hint="cs"/>
          <w:spacing w:val="2"/>
          <w:rtl/>
          <w:lang w:bidi="ar-EG"/>
        </w:rPr>
        <w:t xml:space="preserve"> (لا تغيير) </w:t>
      </w:r>
      <w:r>
        <w:rPr>
          <w:rFonts w:eastAsia="SimSun"/>
          <w:spacing w:val="2"/>
          <w:lang w:bidi="ar-EG"/>
        </w:rPr>
        <w:t>(NOC)</w:t>
      </w:r>
      <w:r>
        <w:rPr>
          <w:rFonts w:eastAsia="SimSun" w:hint="cs"/>
          <w:spacing w:val="2"/>
          <w:rtl/>
          <w:lang w:bidi="ar-EG"/>
        </w:rPr>
        <w:t>.</w:t>
      </w:r>
    </w:p>
    <w:p w:rsidR="004B4553" w:rsidRDefault="004B4553">
      <w:pPr>
        <w:tabs>
          <w:tab w:val="clear" w:pos="1134"/>
        </w:tabs>
        <w:bidi w:val="0"/>
        <w:spacing w:before="0" w:line="240" w:lineRule="auto"/>
        <w:jc w:val="left"/>
        <w:rPr>
          <w:rFonts w:ascii="Times New Roman Bold" w:hAnsi="Times New Roman Bold"/>
          <w:bCs/>
          <w:kern w:val="14"/>
          <w:sz w:val="24"/>
          <w:szCs w:val="32"/>
          <w:rtl/>
          <w:lang w:bidi="ar-EG"/>
        </w:rPr>
      </w:pPr>
      <w:r>
        <w:rPr>
          <w:rtl/>
        </w:rPr>
        <w:br w:type="page"/>
      </w:r>
    </w:p>
    <w:p w:rsidR="0078552E" w:rsidRDefault="0078552E" w:rsidP="0078552E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:rsidR="0078552E" w:rsidRDefault="0078552E" w:rsidP="0078552E">
      <w:pPr>
        <w:pStyle w:val="Proposal"/>
      </w:pPr>
      <w:r>
        <w:rPr>
          <w:u w:val="single"/>
        </w:rPr>
        <w:t>NOC</w:t>
      </w:r>
      <w:r>
        <w:tab/>
        <w:t>J/103A21A3/1</w:t>
      </w:r>
    </w:p>
    <w:p w:rsidR="009F37C9" w:rsidRPr="00620278" w:rsidRDefault="008E6BEB" w:rsidP="00D02A9E">
      <w:pPr>
        <w:pStyle w:val="ArtNo"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8E6BEB" w:rsidP="00D02A9E">
      <w:pPr>
        <w:pStyle w:val="Arttitle"/>
        <w:rPr>
          <w:rtl/>
          <w:lang w:bidi="ar-SY"/>
        </w:rPr>
      </w:pPr>
      <w:bookmarkStart w:id="2" w:name="_Toc331055745"/>
      <w:r w:rsidRPr="00620278">
        <w:rPr>
          <w:rtl/>
        </w:rPr>
        <w:t>التبليغ عن تخصيصات التردد وتسجيلها</w:t>
      </w:r>
      <w:r>
        <w:rPr>
          <w:rStyle w:val="FootnoteReference"/>
          <w:bCs w:val="0"/>
          <w:rtl/>
        </w:rPr>
        <w:t>1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2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3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4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5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6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Cs w:val="0"/>
          <w:position w:val="-4"/>
          <w:szCs w:val="28"/>
          <w:vertAlign w:val="superscript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D85687">
        <w:rPr>
          <w:rStyle w:val="FootnoteReference"/>
          <w:rFonts w:ascii="Times New Roman Bold" w:hAnsi="Times New Roman Bold" w:cs="Traditional Arabic"/>
          <w:bCs w:val="0"/>
          <w:i/>
          <w:iCs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F62046">
        <w:rPr>
          <w:b w:val="0"/>
          <w:bCs w:val="0"/>
          <w:sz w:val="18"/>
          <w:lang w:bidi="ar-SA"/>
        </w:rPr>
        <w:t>    </w:t>
      </w:r>
    </w:p>
    <w:p w:rsidR="003C51C1" w:rsidRPr="004B4553" w:rsidRDefault="003C51C1">
      <w:pPr>
        <w:pStyle w:val="Reasons"/>
        <w:rPr>
          <w:b w:val="0"/>
          <w:bCs w:val="0"/>
          <w:rtl/>
        </w:rPr>
      </w:pPr>
    </w:p>
    <w:p w:rsidR="0078552E" w:rsidRPr="0078552E" w:rsidRDefault="0078552E" w:rsidP="0078552E">
      <w:pPr>
        <w:spacing w:before="600"/>
        <w:jc w:val="center"/>
      </w:pPr>
      <w:r>
        <w:rPr>
          <w:rtl/>
        </w:rPr>
        <w:t>___________</w:t>
      </w:r>
    </w:p>
    <w:sectPr w:rsidR="0078552E" w:rsidRPr="0078552E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E6BEB" w:rsidRDefault="00281F5F" w:rsidP="008E6BEB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8E6BEB">
      <w:instrText xml:space="preserve"> FILENAME \p \* MERGEFORMAT </w:instrText>
    </w:r>
    <w:r w:rsidRPr="00CB4300">
      <w:fldChar w:fldCharType="separate"/>
    </w:r>
    <w:r w:rsidR="004B4553">
      <w:rPr>
        <w:noProof/>
      </w:rPr>
      <w:t>P:\ARA\ITU-R\CONF-R\CMR15\100\103ADD21ADD03A.docx</w:t>
    </w:r>
    <w:r w:rsidRPr="00CB4300">
      <w:fldChar w:fldCharType="end"/>
    </w:r>
    <w:r w:rsidRPr="008E6BEB">
      <w:t xml:space="preserve">  (</w:t>
    </w:r>
    <w:r w:rsidR="008E6BEB" w:rsidRPr="008E6BEB">
      <w:t>388840</w:t>
    </w:r>
    <w:r w:rsidRPr="008E6BEB">
      <w:t>)</w:t>
    </w:r>
    <w:r w:rsidRPr="008E6BEB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07D05">
      <w:rPr>
        <w:noProof/>
      </w:rPr>
      <w:t>31.10.15</w:t>
    </w:r>
    <w:r w:rsidRPr="00CB4300">
      <w:fldChar w:fldCharType="end"/>
    </w:r>
    <w:r w:rsidRPr="008E6BEB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35124" w:rsidRDefault="00281F5F" w:rsidP="008E6BEB">
    <w:pPr>
      <w:pStyle w:val="Footer"/>
    </w:pPr>
    <w:r>
      <w:fldChar w:fldCharType="begin"/>
    </w:r>
    <w:r w:rsidRPr="008E6BEB">
      <w:instrText xml:space="preserve"> FILENAME \p \* MERGEFORMAT </w:instrText>
    </w:r>
    <w:r>
      <w:fldChar w:fldCharType="separate"/>
    </w:r>
    <w:r w:rsidR="004B4553">
      <w:rPr>
        <w:noProof/>
      </w:rPr>
      <w:t>P:\ARA\ITU-R\CONF-R\CMR15\100\103ADD21ADD03A.docx</w:t>
    </w:r>
    <w:r>
      <w:fldChar w:fldCharType="end"/>
    </w:r>
    <w:r w:rsidRPr="00335124">
      <w:t xml:space="preserve">   (</w:t>
    </w:r>
    <w:r w:rsidR="008E6BEB">
      <w:t>388840</w:t>
    </w:r>
    <w:r w:rsidRPr="00335124">
      <w:t>)</w:t>
    </w:r>
    <w:r w:rsidRPr="00335124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07D05">
      <w:rPr>
        <w:noProof/>
      </w:rPr>
      <w:t>31.10.15</w:t>
    </w:r>
    <w:r w:rsidRPr="00B12661">
      <w:fldChar w:fldCharType="end"/>
    </w:r>
    <w:r w:rsidRPr="00335124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72A87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103(Add.21)(Add.3)-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07D05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5124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C51C1"/>
    <w:rsid w:val="003D24C0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2A87"/>
    <w:rsid w:val="0047407D"/>
    <w:rsid w:val="004909DD"/>
    <w:rsid w:val="004A05E6"/>
    <w:rsid w:val="004A6C66"/>
    <w:rsid w:val="004A7AA0"/>
    <w:rsid w:val="004B4553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657DD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451A6"/>
    <w:rsid w:val="00751251"/>
    <w:rsid w:val="007610E7"/>
    <w:rsid w:val="00764079"/>
    <w:rsid w:val="00770AA0"/>
    <w:rsid w:val="00771F7E"/>
    <w:rsid w:val="00773E9C"/>
    <w:rsid w:val="00776F6B"/>
    <w:rsid w:val="00777694"/>
    <w:rsid w:val="0078552E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E6BEB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4BAA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2483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85687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7DF4AA02-F0A6-402F-B9F6-E2567A70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R15-WRC15-C-0103!A21-A3!MSW-A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6FECF2E-6B31-4078-9915-3EC573E62B47}">
  <ds:schemaRefs>
    <ds:schemaRef ds:uri="http://purl.org/dc/dcmitype/"/>
    <ds:schemaRef ds:uri="http://purl.org/dc/elements/1.1/"/>
    <ds:schemaRef ds:uri="http://purl.org/dc/terms/"/>
    <ds:schemaRef ds:uri="32a1a8c5-2265-4ebc-b7a0-2071e2c5c9bb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6AFD39-85E6-42C5-B170-7158205C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1132</Characters>
  <Application>Microsoft Office Word</Application>
  <DocSecurity>0</DocSecurity>
  <Lines>56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R15-WRC15-C-0103!A21-A3!MSW-A</vt:lpstr>
    </vt:vector>
  </TitlesOfParts>
  <Manager>General Secretariat - Pool</Manager>
  <Company>International Telecommunication Union (ITU)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R15-WRC15-C-0103!A21-A3!MSW-A</dc:title>
  <dc:creator>Documents Proposals Manager (DPM)</dc:creator>
  <cp:keywords>DPM_v5.2015.10.230_prod</cp:keywords>
  <cp:lastModifiedBy>Awad, Samy</cp:lastModifiedBy>
  <cp:revision>5</cp:revision>
  <cp:lastPrinted>2011-11-07T13:53:00Z</cp:lastPrinted>
  <dcterms:created xsi:type="dcterms:W3CDTF">2015-10-31T11:27:00Z</dcterms:created>
  <dcterms:modified xsi:type="dcterms:W3CDTF">2015-10-31T13:20:00Z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