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290B65" w:rsidP="002A6F8F">
            <w:pPr>
              <w:spacing w:before="400" w:after="48" w:line="240" w:lineRule="atLeast"/>
              <w:rPr>
                <w:rFonts w:ascii="Verdana" w:hAnsi="Verdana"/>
                <w:b/>
                <w:bCs/>
                <w:sz w:val="20"/>
                <w:lang w:val="fr-CH"/>
              </w:rPr>
            </w:pPr>
            <w:r>
              <w:rPr>
                <w:rFonts w:ascii="Verdana" w:hAnsi="Verdana"/>
                <w:b/>
                <w:bCs/>
                <w:sz w:val="20"/>
                <w:lang w:val="fr-CH"/>
              </w:rPr>
              <w:t>1</w:t>
            </w:r>
            <w:r w:rsidR="00851625">
              <w:rPr>
                <w:rFonts w:ascii="Verdana" w:hAnsi="Verdana"/>
                <w:b/>
                <w:bCs/>
                <w:sz w:val="20"/>
                <w:lang w:val="fr-CH"/>
              </w:rPr>
              <w:t>Conférence mondiale des radiocommunications (CMR-15)</w:t>
            </w:r>
            <w:r w:rsidR="00851625" w:rsidRPr="00930FFD">
              <w:rPr>
                <w:rFonts w:ascii="Verdana" w:hAnsi="Verdana"/>
                <w:b/>
                <w:bCs/>
                <w:sz w:val="20"/>
                <w:lang w:val="fr-CH"/>
              </w:rPr>
              <w:br/>
            </w:r>
            <w:r w:rsidR="00851625" w:rsidRPr="00930FFD">
              <w:rPr>
                <w:rFonts w:ascii="Verdana" w:hAnsi="Verdana"/>
                <w:b/>
                <w:bCs/>
                <w:sz w:val="18"/>
                <w:szCs w:val="18"/>
                <w:lang w:val="fr-CH"/>
              </w:rPr>
              <w:t>Genève,</w:t>
            </w:r>
            <w:r w:rsidR="00E537FF">
              <w:rPr>
                <w:rFonts w:ascii="Verdana" w:hAnsi="Verdana"/>
                <w:b/>
                <w:bCs/>
                <w:sz w:val="18"/>
                <w:szCs w:val="18"/>
                <w:lang w:val="fr-CH"/>
              </w:rPr>
              <w:t xml:space="preserve"> </w:t>
            </w:r>
            <w:r w:rsidR="00851625"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CE3456" w:rsidRDefault="00CE3456" w:rsidP="00BA5BD0">
            <w:pPr>
              <w:spacing w:before="0"/>
              <w:rPr>
                <w:rFonts w:ascii="Verdana" w:hAnsi="Verdana"/>
                <w:sz w:val="20"/>
                <w:lang w:val="fr-CH"/>
              </w:rPr>
            </w:pPr>
            <w:r w:rsidRPr="00CE3456">
              <w:rPr>
                <w:rFonts w:ascii="Verdana" w:eastAsia="SimSun" w:hAnsi="Verdana" w:cs="Traditional Arabic"/>
                <w:b/>
                <w:sz w:val="20"/>
                <w:lang w:val="fr-CH"/>
              </w:rPr>
              <w:t xml:space="preserve">Révision </w:t>
            </w:r>
            <w:r w:rsidR="00290B65">
              <w:rPr>
                <w:rFonts w:ascii="Verdana" w:eastAsia="SimSun" w:hAnsi="Verdana" w:cs="Traditional Arabic"/>
                <w:b/>
                <w:sz w:val="20"/>
                <w:lang w:val="fr-CH"/>
              </w:rPr>
              <w:t xml:space="preserve">1 </w:t>
            </w:r>
            <w:bookmarkStart w:id="2" w:name="_GoBack"/>
            <w:bookmarkEnd w:id="2"/>
            <w:r w:rsidRPr="00CE3456">
              <w:rPr>
                <w:rFonts w:ascii="Verdana" w:eastAsia="SimSun" w:hAnsi="Verdana" w:cs="Traditional Arabic"/>
                <w:b/>
                <w:sz w:val="20"/>
                <w:lang w:val="fr-CH"/>
              </w:rPr>
              <w:t>du</w:t>
            </w:r>
            <w:r w:rsidR="006D4724" w:rsidRPr="00CE3456">
              <w:rPr>
                <w:rFonts w:ascii="Verdana" w:eastAsia="SimSun" w:hAnsi="Verdana" w:cs="Traditional Arabic"/>
                <w:b/>
                <w:sz w:val="20"/>
                <w:lang w:val="fr-CH"/>
              </w:rPr>
              <w:br/>
              <w:t>Document 103</w:t>
            </w:r>
            <w:r w:rsidRPr="00CE3456">
              <w:rPr>
                <w:rFonts w:ascii="Verdana" w:eastAsia="SimSun" w:hAnsi="Verdana" w:cs="Traditional Arabic"/>
                <w:b/>
                <w:sz w:val="20"/>
                <w:lang w:val="fr-CH"/>
              </w:rPr>
              <w:t>(Add.</w:t>
            </w:r>
            <w:r>
              <w:rPr>
                <w:rFonts w:ascii="Verdana" w:eastAsia="SimSun" w:hAnsi="Verdana" w:cs="Traditional Arabic"/>
                <w:b/>
                <w:sz w:val="20"/>
                <w:lang w:val="fr-CH"/>
              </w:rPr>
              <w:t>24)</w:t>
            </w:r>
            <w:r w:rsidR="00BB1D82" w:rsidRPr="00CE3456">
              <w:rPr>
                <w:rFonts w:ascii="Verdana" w:hAnsi="Verdana"/>
                <w:b/>
                <w:sz w:val="20"/>
                <w:lang w:val="fr-CH"/>
              </w:rPr>
              <w:t>-</w:t>
            </w:r>
            <w:r w:rsidR="006D4724" w:rsidRPr="00CE3456">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CE3456" w:rsidRDefault="00690C7B" w:rsidP="00BA5BD0">
            <w:pPr>
              <w:spacing w:before="0"/>
              <w:rPr>
                <w:rFonts w:ascii="Verdana" w:hAnsi="Verdana"/>
                <w:b/>
                <w:sz w:val="20"/>
                <w:lang w:val="fr-CH"/>
              </w:rPr>
            </w:pPr>
          </w:p>
        </w:tc>
        <w:tc>
          <w:tcPr>
            <w:tcW w:w="3120" w:type="dxa"/>
            <w:shd w:val="clear" w:color="auto" w:fill="auto"/>
          </w:tcPr>
          <w:p w:rsidR="00690C7B" w:rsidRPr="00CE3456" w:rsidRDefault="00CE3456" w:rsidP="00CE3456">
            <w:pPr>
              <w:spacing w:before="0"/>
              <w:rPr>
                <w:rFonts w:ascii="Verdana" w:hAnsi="Verdana"/>
                <w:b/>
                <w:sz w:val="20"/>
                <w:lang w:val="fr-CH"/>
              </w:rPr>
            </w:pPr>
            <w:r>
              <w:rPr>
                <w:rFonts w:ascii="Verdana" w:hAnsi="Verdana"/>
                <w:b/>
                <w:sz w:val="20"/>
                <w:lang w:val="fr-CH"/>
              </w:rPr>
              <w:t>1er novembre</w:t>
            </w:r>
            <w:r w:rsidR="00690C7B" w:rsidRPr="00CE3456">
              <w:rPr>
                <w:rFonts w:ascii="Verdana" w:hAnsi="Verdana"/>
                <w:b/>
                <w:sz w:val="20"/>
                <w:lang w:val="fr-CH"/>
              </w:rPr>
              <w:t xml:space="preserve"> 2015</w:t>
            </w:r>
          </w:p>
        </w:tc>
      </w:tr>
      <w:tr w:rsidR="00690C7B" w:rsidRPr="002A6F8F" w:rsidTr="00BB1D82">
        <w:trPr>
          <w:cantSplit/>
        </w:trPr>
        <w:tc>
          <w:tcPr>
            <w:tcW w:w="6911" w:type="dxa"/>
          </w:tcPr>
          <w:p w:rsidR="00690C7B" w:rsidRPr="00CE3456" w:rsidRDefault="00690C7B" w:rsidP="00BA5BD0">
            <w:pPr>
              <w:spacing w:before="0" w:after="48"/>
              <w:rPr>
                <w:rFonts w:ascii="Verdana" w:hAnsi="Verdana"/>
                <w:b/>
                <w:smallCaps/>
                <w:sz w:val="20"/>
                <w:lang w:val="fr-CH"/>
              </w:rPr>
            </w:pPr>
          </w:p>
        </w:tc>
        <w:tc>
          <w:tcPr>
            <w:tcW w:w="3120" w:type="dxa"/>
          </w:tcPr>
          <w:p w:rsidR="00690C7B" w:rsidRPr="00CE3456" w:rsidRDefault="00690C7B" w:rsidP="00BA5BD0">
            <w:pPr>
              <w:spacing w:before="0"/>
              <w:rPr>
                <w:rFonts w:ascii="Verdana" w:hAnsi="Verdana"/>
                <w:b/>
                <w:sz w:val="20"/>
                <w:lang w:val="fr-CH"/>
              </w:rPr>
            </w:pPr>
            <w:r w:rsidRPr="00CE3456">
              <w:rPr>
                <w:rFonts w:ascii="Verdana" w:hAnsi="Verdana"/>
                <w:b/>
                <w:sz w:val="20"/>
                <w:lang w:val="fr-CH"/>
              </w:rPr>
              <w:t>Original: anglais</w:t>
            </w:r>
          </w:p>
        </w:tc>
      </w:tr>
      <w:tr w:rsidR="00690C7B" w:rsidRPr="002A6F8F" w:rsidTr="00C11970">
        <w:trPr>
          <w:cantSplit/>
        </w:trPr>
        <w:tc>
          <w:tcPr>
            <w:tcW w:w="10031" w:type="dxa"/>
            <w:gridSpan w:val="2"/>
          </w:tcPr>
          <w:p w:rsidR="00690C7B" w:rsidRPr="00CE3456" w:rsidRDefault="00690C7B" w:rsidP="00BA5BD0">
            <w:pPr>
              <w:spacing w:before="0"/>
              <w:rPr>
                <w:rFonts w:ascii="Verdana" w:hAnsi="Verdana"/>
                <w:b/>
                <w:sz w:val="20"/>
                <w:lang w:val="fr-CH"/>
              </w:rPr>
            </w:pPr>
          </w:p>
        </w:tc>
      </w:tr>
      <w:tr w:rsidR="00690C7B" w:rsidRPr="002A6F8F" w:rsidTr="0050008E">
        <w:trPr>
          <w:cantSplit/>
        </w:trPr>
        <w:tc>
          <w:tcPr>
            <w:tcW w:w="10031" w:type="dxa"/>
            <w:gridSpan w:val="2"/>
          </w:tcPr>
          <w:p w:rsidR="00690C7B" w:rsidRPr="00CE3456" w:rsidRDefault="00690C7B" w:rsidP="00690C7B">
            <w:pPr>
              <w:pStyle w:val="Source"/>
              <w:rPr>
                <w:lang w:val="fr-CH"/>
              </w:rPr>
            </w:pPr>
            <w:bookmarkStart w:id="3" w:name="dsource" w:colFirst="0" w:colLast="0"/>
            <w:r w:rsidRPr="00CE3456">
              <w:rPr>
                <w:lang w:val="fr-CH"/>
              </w:rPr>
              <w:t>Japon</w:t>
            </w:r>
          </w:p>
        </w:tc>
      </w:tr>
      <w:tr w:rsidR="00690C7B" w:rsidRPr="007B180A" w:rsidTr="0050008E">
        <w:trPr>
          <w:cantSplit/>
        </w:trPr>
        <w:tc>
          <w:tcPr>
            <w:tcW w:w="10031" w:type="dxa"/>
            <w:gridSpan w:val="2"/>
          </w:tcPr>
          <w:p w:rsidR="00690C7B" w:rsidRPr="007B180A" w:rsidRDefault="007B180A" w:rsidP="00254F26">
            <w:pPr>
              <w:pStyle w:val="Title1"/>
            </w:pPr>
            <w:bookmarkStart w:id="4" w:name="dtitle1" w:colFirst="0" w:colLast="0"/>
            <w:bookmarkEnd w:id="3"/>
            <w:r w:rsidRPr="007B180A">
              <w:rPr>
                <w:caps w:val="0"/>
              </w:rPr>
              <w:t xml:space="preserve">PROPOSITIONS POUR LES TRAVAUX DE LA </w:t>
            </w:r>
            <w:r w:rsidRPr="007B180A">
              <w:t>conf</w:t>
            </w:r>
            <w:r w:rsidR="00254F26">
              <w:t>É</w:t>
            </w:r>
            <w:r w:rsidRPr="007B180A">
              <w:t>rence</w:t>
            </w:r>
          </w:p>
        </w:tc>
      </w:tr>
      <w:tr w:rsidR="00690C7B" w:rsidRPr="007B180A" w:rsidTr="0050008E">
        <w:trPr>
          <w:cantSplit/>
        </w:trPr>
        <w:tc>
          <w:tcPr>
            <w:tcW w:w="10031" w:type="dxa"/>
            <w:gridSpan w:val="2"/>
          </w:tcPr>
          <w:p w:rsidR="00690C7B" w:rsidRPr="007B180A" w:rsidRDefault="00690C7B" w:rsidP="00690C7B">
            <w:pPr>
              <w:pStyle w:val="Title2"/>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10 de l'ordre du jour</w:t>
            </w:r>
          </w:p>
        </w:tc>
      </w:tr>
    </w:tbl>
    <w:bookmarkEnd w:id="6"/>
    <w:p w:rsidR="001C0E40" w:rsidRPr="000F2DBF" w:rsidRDefault="00083864" w:rsidP="00B27401">
      <w:pPr>
        <w:rPr>
          <w:lang w:val="fr-CA"/>
        </w:rPr>
      </w:pPr>
      <w:r w:rsidRPr="000F2DBF">
        <w:rPr>
          <w:lang w:val="fr-CA"/>
        </w:rPr>
        <w:t>10</w:t>
      </w:r>
      <w:r w:rsidRPr="000F2DBF">
        <w:rPr>
          <w:lang w:val="fr-CA"/>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471319" w:rsidRPr="00CF19D3" w:rsidRDefault="00CF19D3" w:rsidP="00471319">
      <w:pPr>
        <w:pStyle w:val="Headingb"/>
        <w:rPr>
          <w:lang w:val="fr-CH"/>
        </w:rPr>
      </w:pPr>
      <w:r>
        <w:rPr>
          <w:lang w:val="fr-CH"/>
        </w:rPr>
        <w:t>Considérations générales</w:t>
      </w:r>
    </w:p>
    <w:p w:rsidR="00471319" w:rsidRPr="00945899" w:rsidRDefault="00945899" w:rsidP="00CF19D3">
      <w:pPr>
        <w:rPr>
          <w:bCs/>
          <w:iCs/>
        </w:rPr>
      </w:pPr>
      <w:r>
        <w:rPr>
          <w:lang w:val="fr-CH" w:eastAsia="ja-JP"/>
        </w:rPr>
        <w:t>E</w:t>
      </w:r>
      <w:r w:rsidRPr="00945899">
        <w:rPr>
          <w:lang w:val="fr-CH" w:eastAsia="ja-JP"/>
        </w:rPr>
        <w:t>n ce qui concerne l</w:t>
      </w:r>
      <w:r w:rsidR="00254F26">
        <w:rPr>
          <w:lang w:val="fr-CH" w:eastAsia="ja-JP"/>
        </w:rPr>
        <w:t>'</w:t>
      </w:r>
      <w:r w:rsidRPr="00945899">
        <w:rPr>
          <w:lang w:val="fr-CH" w:eastAsia="ja-JP"/>
        </w:rPr>
        <w:t>ordre du jour de la CMR-19</w:t>
      </w:r>
      <w:r>
        <w:rPr>
          <w:lang w:val="fr-CH" w:eastAsia="ja-JP"/>
        </w:rPr>
        <w:t>, l</w:t>
      </w:r>
      <w:r w:rsidRPr="00945899">
        <w:rPr>
          <w:lang w:val="fr-CH" w:eastAsia="ja-JP"/>
        </w:rPr>
        <w:t>e Japon appuie les propositions</w:t>
      </w:r>
      <w:r>
        <w:rPr>
          <w:lang w:val="fr-CH" w:eastAsia="ja-JP"/>
        </w:rPr>
        <w:t xml:space="preserve"> communes de l</w:t>
      </w:r>
      <w:r w:rsidR="00254F26">
        <w:rPr>
          <w:lang w:val="fr-CH" w:eastAsia="ja-JP"/>
        </w:rPr>
        <w:t>'</w:t>
      </w:r>
      <w:r>
        <w:rPr>
          <w:lang w:val="fr-CH" w:eastAsia="ja-JP"/>
        </w:rPr>
        <w:t>APT contenues dans l</w:t>
      </w:r>
      <w:r w:rsidR="00254F26">
        <w:rPr>
          <w:lang w:val="fr-CH" w:eastAsia="ja-JP"/>
        </w:rPr>
        <w:t>'</w:t>
      </w:r>
      <w:r>
        <w:rPr>
          <w:lang w:val="fr-CH" w:eastAsia="ja-JP"/>
        </w:rPr>
        <w:t>Addendum 24</w:t>
      </w:r>
      <w:r w:rsidRPr="00945899">
        <w:rPr>
          <w:lang w:val="fr-CH" w:eastAsia="ja-JP"/>
        </w:rPr>
        <w:t xml:space="preserve"> </w:t>
      </w:r>
      <w:r>
        <w:rPr>
          <w:lang w:val="fr-CH" w:eastAsia="ja-JP"/>
        </w:rPr>
        <w:t xml:space="preserve">du Document 32 (ASP/32A24). Le point 1.2 du </w:t>
      </w:r>
      <w:r w:rsidRPr="00945899">
        <w:rPr>
          <w:i/>
          <w:iCs/>
          <w:lang w:val="fr-CH" w:eastAsia="ja-JP"/>
        </w:rPr>
        <w:t>décide</w:t>
      </w:r>
      <w:r>
        <w:rPr>
          <w:lang w:val="fr-CH" w:eastAsia="ja-JP"/>
        </w:rPr>
        <w:t xml:space="preserve"> vise à </w:t>
      </w:r>
      <w:r w:rsidRPr="00CF19D3">
        <w:rPr>
          <w:lang w:eastAsia="ja-JP"/>
        </w:rPr>
        <w:t>e</w:t>
      </w:r>
      <w:r w:rsidR="00471319" w:rsidRPr="00CF19D3">
        <w:t xml:space="preserve">xaminer les </w:t>
      </w:r>
      <w:r w:rsidR="00CF19D3">
        <w:t>mesures</w:t>
      </w:r>
      <w:r w:rsidR="00471319" w:rsidRPr="00CF19D3">
        <w:t xml:space="preserve"> réglementaires appropriées</w:t>
      </w:r>
      <w:r w:rsidR="00471319" w:rsidRPr="00CF19D3">
        <w:rPr>
          <w:lang w:eastAsia="zh-CN"/>
        </w:rPr>
        <w:t xml:space="preserve"> à prendre pour identifier le service mobile terrestre et le service fixe fonctionnant dans la gamme de fréquences </w:t>
      </w:r>
      <w:r w:rsidR="00471319" w:rsidRPr="00CF19D3">
        <w:rPr>
          <w:rFonts w:eastAsia="MS Gothic"/>
          <w:lang w:eastAsia="ja-JP"/>
        </w:rPr>
        <w:t>275-1 000 GHz</w:t>
      </w:r>
      <w:r w:rsidR="00471319" w:rsidRPr="00445A8F">
        <w:rPr>
          <w:rFonts w:eastAsia="MS Gothic"/>
          <w:lang w:eastAsia="ja-JP"/>
        </w:rPr>
        <w:t xml:space="preserve">, conformément à la Résolution </w:t>
      </w:r>
      <w:r>
        <w:rPr>
          <w:rFonts w:eastAsia="MS Gothic"/>
          <w:bCs/>
          <w:lang w:eastAsia="ja-JP"/>
        </w:rPr>
        <w:t>[ASP-C10-MS&amp;FS_ABOVE_275GHz</w:t>
      </w:r>
      <w:r w:rsidR="00471319" w:rsidRPr="00945899">
        <w:rPr>
          <w:rFonts w:eastAsia="MS Gothic"/>
          <w:bCs/>
          <w:lang w:eastAsia="ja-JP"/>
        </w:rPr>
        <w:t>] (CMR-15)</w:t>
      </w:r>
      <w:r>
        <w:rPr>
          <w:rFonts w:eastAsia="MS Gothic"/>
          <w:bCs/>
          <w:lang w:eastAsia="ja-JP"/>
        </w:rPr>
        <w:t xml:space="preserve"> (ASP/10/15).</w:t>
      </w:r>
    </w:p>
    <w:p w:rsidR="00CF19D3" w:rsidRDefault="00945899" w:rsidP="00F534E4">
      <w:pPr>
        <w:rPr>
          <w:lang w:val="fr-CH" w:eastAsia="ja-JP"/>
        </w:rPr>
      </w:pPr>
      <w:r w:rsidRPr="00945899">
        <w:rPr>
          <w:lang w:val="fr-CH" w:eastAsia="ja-JP"/>
        </w:rPr>
        <w:t>L</w:t>
      </w:r>
      <w:r w:rsidR="00254F26">
        <w:rPr>
          <w:lang w:val="fr-CH" w:eastAsia="ja-JP"/>
        </w:rPr>
        <w:t>'</w:t>
      </w:r>
      <w:r w:rsidRPr="00945899">
        <w:rPr>
          <w:lang w:val="fr-CH" w:eastAsia="ja-JP"/>
        </w:rPr>
        <w:t xml:space="preserve">ordre du jour proposé </w:t>
      </w:r>
      <w:r w:rsidR="00CF19D3">
        <w:rPr>
          <w:lang w:val="fr-CH" w:eastAsia="ja-JP"/>
        </w:rPr>
        <w:t>concerne</w:t>
      </w:r>
      <w:r w:rsidRPr="00945899">
        <w:rPr>
          <w:lang w:val="fr-CH" w:eastAsia="ja-JP"/>
        </w:rPr>
        <w:t xml:space="preserve"> deux services</w:t>
      </w:r>
      <w:r w:rsidR="00CF19D3">
        <w:rPr>
          <w:lang w:val="fr-CH" w:eastAsia="ja-JP"/>
        </w:rPr>
        <w:t xml:space="preserve"> de radiocommunication</w:t>
      </w:r>
      <w:r>
        <w:rPr>
          <w:lang w:val="fr-CH" w:eastAsia="ja-JP"/>
        </w:rPr>
        <w:t>, à savoir le service mobile terrestre et le service fixe. Au sein des Commissions d</w:t>
      </w:r>
      <w:r w:rsidR="00254F26">
        <w:rPr>
          <w:lang w:val="fr-CH" w:eastAsia="ja-JP"/>
        </w:rPr>
        <w:t>'</w:t>
      </w:r>
      <w:r>
        <w:rPr>
          <w:lang w:val="fr-CH" w:eastAsia="ja-JP"/>
        </w:rPr>
        <w:t>études de l</w:t>
      </w:r>
      <w:r w:rsidR="00254F26">
        <w:rPr>
          <w:lang w:val="fr-CH" w:eastAsia="ja-JP"/>
        </w:rPr>
        <w:t>'</w:t>
      </w:r>
      <w:r>
        <w:rPr>
          <w:lang w:val="fr-CH" w:eastAsia="ja-JP"/>
        </w:rPr>
        <w:t>UIT-R, ces services sont actuellement examinés</w:t>
      </w:r>
      <w:r w:rsidR="00E82A15" w:rsidRPr="00E82A15">
        <w:rPr>
          <w:lang w:val="fr-CH" w:eastAsia="ja-JP"/>
        </w:rPr>
        <w:t xml:space="preserve"> </w:t>
      </w:r>
      <w:r w:rsidR="00E82A15">
        <w:rPr>
          <w:lang w:val="fr-CH" w:eastAsia="ja-JP"/>
        </w:rPr>
        <w:t>respectivement</w:t>
      </w:r>
      <w:r>
        <w:rPr>
          <w:lang w:val="fr-CH" w:eastAsia="ja-JP"/>
        </w:rPr>
        <w:t xml:space="preserve"> par les G</w:t>
      </w:r>
      <w:r w:rsidR="00E82A15">
        <w:rPr>
          <w:lang w:val="fr-CH" w:eastAsia="ja-JP"/>
        </w:rPr>
        <w:t>roupes de travail 5A et 5C</w:t>
      </w:r>
      <w:r>
        <w:rPr>
          <w:lang w:val="fr-CH" w:eastAsia="ja-JP"/>
        </w:rPr>
        <w:t xml:space="preserve">. </w:t>
      </w:r>
      <w:r w:rsidR="001105A5">
        <w:rPr>
          <w:lang w:val="fr-CH" w:eastAsia="ja-JP"/>
        </w:rPr>
        <w:t xml:space="preserve">Afin </w:t>
      </w:r>
      <w:r w:rsidR="00CF19D3">
        <w:rPr>
          <w:lang w:val="fr-CH" w:eastAsia="ja-JP"/>
        </w:rPr>
        <w:t>de rattacher</w:t>
      </w:r>
      <w:r w:rsidR="001105A5">
        <w:rPr>
          <w:lang w:val="fr-CH" w:eastAsia="ja-JP"/>
        </w:rPr>
        <w:t xml:space="preserve"> aux Groupes de travail concernés les travaux mentionnés dans </w:t>
      </w:r>
      <w:r w:rsidR="006C1A23">
        <w:rPr>
          <w:lang w:val="fr-CH" w:eastAsia="ja-JP"/>
        </w:rPr>
        <w:t>le</w:t>
      </w:r>
      <w:r w:rsidR="001105A5">
        <w:rPr>
          <w:lang w:val="fr-CH" w:eastAsia="ja-JP"/>
        </w:rPr>
        <w:t xml:space="preserve"> </w:t>
      </w:r>
      <w:r w:rsidR="001105A5" w:rsidRPr="001105A5">
        <w:rPr>
          <w:i/>
          <w:iCs/>
          <w:lang w:val="fr-CH" w:eastAsia="ja-JP"/>
        </w:rPr>
        <w:t>invite l</w:t>
      </w:r>
      <w:r w:rsidR="00254F26">
        <w:rPr>
          <w:i/>
          <w:iCs/>
          <w:lang w:val="fr-CH" w:eastAsia="ja-JP"/>
        </w:rPr>
        <w:t>'</w:t>
      </w:r>
      <w:r w:rsidR="001105A5" w:rsidRPr="001105A5">
        <w:rPr>
          <w:i/>
          <w:iCs/>
          <w:lang w:val="fr-CH" w:eastAsia="ja-JP"/>
        </w:rPr>
        <w:t>UIT-R</w:t>
      </w:r>
      <w:r w:rsidR="001105A5">
        <w:rPr>
          <w:i/>
          <w:iCs/>
          <w:lang w:val="fr-CH" w:eastAsia="ja-JP"/>
        </w:rPr>
        <w:t xml:space="preserve"> </w:t>
      </w:r>
      <w:r w:rsidR="001105A5">
        <w:rPr>
          <w:lang w:val="fr-CH" w:eastAsia="ja-JP"/>
        </w:rPr>
        <w:t xml:space="preserve">du projet de nouvelle Résolution </w:t>
      </w:r>
      <w:r w:rsidR="00CE3456">
        <w:rPr>
          <w:lang w:val="fr-CH" w:eastAsia="ja-JP"/>
        </w:rPr>
        <w:t>[ASP-C10-MS&amp;FS_ABOVE_275GHz</w:t>
      </w:r>
      <w:r w:rsidR="001105A5" w:rsidRPr="001105A5">
        <w:rPr>
          <w:lang w:val="fr-CH" w:eastAsia="ja-JP"/>
        </w:rPr>
        <w:t>]</w:t>
      </w:r>
      <w:r w:rsidR="001105A5" w:rsidRPr="001105A5">
        <w:rPr>
          <w:rFonts w:hint="eastAsia"/>
          <w:lang w:val="fr-CH" w:eastAsia="ja-JP"/>
        </w:rPr>
        <w:t xml:space="preserve"> (</w:t>
      </w:r>
      <w:r w:rsidR="001105A5">
        <w:rPr>
          <w:lang w:val="fr-CH" w:eastAsia="ja-JP"/>
        </w:rPr>
        <w:t>CMR</w:t>
      </w:r>
      <w:r w:rsidR="001105A5" w:rsidRPr="001105A5">
        <w:rPr>
          <w:rFonts w:hint="eastAsia"/>
          <w:lang w:val="fr-CH" w:eastAsia="ja-JP"/>
        </w:rPr>
        <w:t>-15)</w:t>
      </w:r>
      <w:r w:rsidR="00CF19D3">
        <w:rPr>
          <w:lang w:val="fr-CH" w:eastAsia="ja-JP"/>
        </w:rPr>
        <w:t xml:space="preserve"> contenu dans la P</w:t>
      </w:r>
      <w:r w:rsidR="001105A5">
        <w:rPr>
          <w:lang w:val="fr-CH" w:eastAsia="ja-JP"/>
        </w:rPr>
        <w:t>ièce jointe 2 de l</w:t>
      </w:r>
      <w:r w:rsidR="00254F26">
        <w:rPr>
          <w:lang w:val="fr-CH" w:eastAsia="ja-JP"/>
        </w:rPr>
        <w:t>'</w:t>
      </w:r>
      <w:r w:rsidR="001105A5">
        <w:rPr>
          <w:lang w:val="fr-CH" w:eastAsia="ja-JP"/>
        </w:rPr>
        <w:t>Addendum 24 du Document 32, le Japon propose une</w:t>
      </w:r>
      <w:r w:rsidR="00F534E4">
        <w:rPr>
          <w:lang w:val="fr-CH" w:eastAsia="ja-JP"/>
        </w:rPr>
        <w:t xml:space="preserve"> autre nouvelle Résolution qui consiste en</w:t>
      </w:r>
      <w:r w:rsidR="001105A5">
        <w:rPr>
          <w:lang w:val="fr-CH" w:eastAsia="ja-JP"/>
        </w:rPr>
        <w:t xml:space="preserve"> une version légèrement modifiée du projet de nouvelle Résolution</w:t>
      </w:r>
      <w:r w:rsidR="00F534E4">
        <w:rPr>
          <w:lang w:val="fr-CH" w:eastAsia="ja-JP"/>
        </w:rPr>
        <w:t xml:space="preserve"> susmentionné</w:t>
      </w:r>
      <w:r w:rsidR="00254F26">
        <w:rPr>
          <w:lang w:val="fr-CH" w:eastAsia="ja-JP"/>
        </w:rPr>
        <w:t>, comme suit</w:t>
      </w:r>
      <w:r w:rsidR="001105A5">
        <w:rPr>
          <w:lang w:val="fr-CH" w:eastAsia="ja-JP"/>
        </w:rPr>
        <w:t xml:space="preserve">: </w:t>
      </w:r>
    </w:p>
    <w:p w:rsidR="00CF19D3" w:rsidRDefault="00CF19D3" w:rsidP="00CE3456">
      <w:pPr>
        <w:pStyle w:val="enumlev1"/>
        <w:rPr>
          <w:lang w:val="fr-CH" w:eastAsia="ja-JP"/>
        </w:rPr>
      </w:pPr>
      <w:r w:rsidRPr="00CF19D3">
        <w:rPr>
          <w:lang w:val="fr-CH" w:eastAsia="ja-JP"/>
        </w:rPr>
        <w:t>–</w:t>
      </w:r>
      <w:r>
        <w:rPr>
          <w:lang w:val="fr-CH" w:eastAsia="ja-JP"/>
        </w:rPr>
        <w:tab/>
      </w:r>
      <w:r w:rsidR="00CE3456">
        <w:rPr>
          <w:lang w:val="fr-CH" w:eastAsia="ja-JP"/>
        </w:rPr>
        <w:t>a</w:t>
      </w:r>
      <w:r w:rsidR="001105A5" w:rsidRPr="001105A5">
        <w:rPr>
          <w:lang w:val="fr-CH" w:eastAsia="ja-JP"/>
        </w:rPr>
        <w:t>jout</w:t>
      </w:r>
      <w:r w:rsidR="00E82A15">
        <w:rPr>
          <w:lang w:val="fr-CH" w:eastAsia="ja-JP"/>
        </w:rPr>
        <w:t>er</w:t>
      </w:r>
      <w:r w:rsidR="001105A5" w:rsidRPr="001105A5">
        <w:rPr>
          <w:lang w:val="fr-CH" w:eastAsia="ja-JP"/>
        </w:rPr>
        <w:t xml:space="preserve"> </w:t>
      </w:r>
      <w:r w:rsidR="001105A5">
        <w:rPr>
          <w:lang w:val="fr-CH" w:eastAsia="ja-JP"/>
        </w:rPr>
        <w:t xml:space="preserve">aux points </w:t>
      </w:r>
      <w:r w:rsidR="001105A5" w:rsidRPr="00CE3456">
        <w:rPr>
          <w:i/>
          <w:iCs/>
          <w:lang w:val="fr-CH" w:eastAsia="ja-JP"/>
        </w:rPr>
        <w:t>e)</w:t>
      </w:r>
      <w:r w:rsidR="001105A5">
        <w:rPr>
          <w:lang w:val="fr-CH" w:eastAsia="ja-JP"/>
        </w:rPr>
        <w:t xml:space="preserve"> et </w:t>
      </w:r>
      <w:r w:rsidR="001105A5" w:rsidRPr="00CE3456">
        <w:rPr>
          <w:i/>
          <w:iCs/>
          <w:lang w:val="fr-CH" w:eastAsia="ja-JP"/>
        </w:rPr>
        <w:t>f)</w:t>
      </w:r>
      <w:r w:rsidR="001105A5">
        <w:rPr>
          <w:lang w:val="fr-CH" w:eastAsia="ja-JP"/>
        </w:rPr>
        <w:t xml:space="preserve"> du </w:t>
      </w:r>
      <w:r w:rsidR="001105A5" w:rsidRPr="001105A5">
        <w:rPr>
          <w:i/>
          <w:iCs/>
          <w:lang w:val="fr-CH" w:eastAsia="ja-JP"/>
        </w:rPr>
        <w:t>notant</w:t>
      </w:r>
      <w:r w:rsidR="001105A5" w:rsidRPr="001105A5">
        <w:rPr>
          <w:lang w:val="fr-CH" w:eastAsia="ja-JP"/>
        </w:rPr>
        <w:t xml:space="preserve"> </w:t>
      </w:r>
      <w:r w:rsidR="001105A5">
        <w:rPr>
          <w:lang w:val="fr-CH" w:eastAsia="ja-JP"/>
        </w:rPr>
        <w:t>l</w:t>
      </w:r>
      <w:r w:rsidR="001105A5" w:rsidRPr="001105A5">
        <w:rPr>
          <w:lang w:val="fr-CH" w:eastAsia="ja-JP"/>
        </w:rPr>
        <w:t>es Questions de l</w:t>
      </w:r>
      <w:r w:rsidR="00254F26">
        <w:rPr>
          <w:lang w:val="fr-CH" w:eastAsia="ja-JP"/>
        </w:rPr>
        <w:t>'</w:t>
      </w:r>
      <w:r w:rsidR="001105A5" w:rsidRPr="001105A5">
        <w:rPr>
          <w:lang w:val="fr-CH" w:eastAsia="ja-JP"/>
        </w:rPr>
        <w:t>UIT-R associée</w:t>
      </w:r>
      <w:r w:rsidR="001105A5">
        <w:rPr>
          <w:lang w:val="fr-CH" w:eastAsia="ja-JP"/>
        </w:rPr>
        <w:t>s (c</w:t>
      </w:r>
      <w:r w:rsidR="00254F26">
        <w:rPr>
          <w:lang w:val="fr-CH" w:eastAsia="ja-JP"/>
        </w:rPr>
        <w:t>'</w:t>
      </w:r>
      <w:r w:rsidR="001105A5">
        <w:rPr>
          <w:lang w:val="fr-CH" w:eastAsia="ja-JP"/>
        </w:rPr>
        <w:t>est-à-dire les Questions UIT-R 256-0/5 et UIT-R 257-0/5), qui relèvent</w:t>
      </w:r>
      <w:r w:rsidR="006C1A23">
        <w:rPr>
          <w:lang w:val="fr-CH" w:eastAsia="ja-JP"/>
        </w:rPr>
        <w:t xml:space="preserve"> de la compétence</w:t>
      </w:r>
      <w:r w:rsidR="001105A5">
        <w:rPr>
          <w:lang w:val="fr-CH" w:eastAsia="ja-JP"/>
        </w:rPr>
        <w:t xml:space="preserve"> du GT 5A et du GT 5C </w:t>
      </w:r>
      <w:r w:rsidR="003521FA">
        <w:rPr>
          <w:lang w:val="fr-CH" w:eastAsia="ja-JP"/>
        </w:rPr>
        <w:t>et ont récemment été approuvées</w:t>
      </w:r>
      <w:r w:rsidR="006C1A23">
        <w:rPr>
          <w:lang w:val="fr-CH" w:eastAsia="ja-JP"/>
        </w:rPr>
        <w:t>;</w:t>
      </w:r>
    </w:p>
    <w:p w:rsidR="006C1A23" w:rsidRPr="00385287" w:rsidRDefault="00CF19D3" w:rsidP="00CE3456">
      <w:pPr>
        <w:pStyle w:val="enumlev1"/>
        <w:rPr>
          <w:lang w:val="fr-CH" w:eastAsia="ja-JP"/>
        </w:rPr>
      </w:pPr>
      <w:r w:rsidRPr="00CF19D3">
        <w:rPr>
          <w:lang w:val="fr-CH" w:eastAsia="ja-JP"/>
        </w:rPr>
        <w:t>–</w:t>
      </w:r>
      <w:r>
        <w:rPr>
          <w:lang w:val="fr-CH" w:eastAsia="ja-JP"/>
        </w:rPr>
        <w:tab/>
      </w:r>
      <w:r w:rsidR="00CE3456">
        <w:rPr>
          <w:iCs/>
          <w:lang w:val="fr-CH" w:eastAsia="ja-JP"/>
        </w:rPr>
        <w:t>s</w:t>
      </w:r>
      <w:r w:rsidR="006C1A23" w:rsidRPr="006C1A23">
        <w:rPr>
          <w:iCs/>
          <w:lang w:val="fr-CH" w:eastAsia="ja-JP"/>
        </w:rPr>
        <w:t>ubdiviser les sujets d</w:t>
      </w:r>
      <w:r w:rsidR="00254F26">
        <w:rPr>
          <w:iCs/>
          <w:lang w:val="fr-CH" w:eastAsia="ja-JP"/>
        </w:rPr>
        <w:t>'</w:t>
      </w:r>
      <w:r w:rsidR="006C1A23" w:rsidRPr="006C1A23">
        <w:rPr>
          <w:iCs/>
          <w:lang w:val="fr-CH" w:eastAsia="ja-JP"/>
        </w:rPr>
        <w:t xml:space="preserve">études évoqués dans le </w:t>
      </w:r>
      <w:r w:rsidR="006C1A23" w:rsidRPr="006C1A23">
        <w:rPr>
          <w:i/>
          <w:lang w:val="fr-CH" w:eastAsia="ja-JP"/>
        </w:rPr>
        <w:t>invite l</w:t>
      </w:r>
      <w:r w:rsidR="00254F26">
        <w:rPr>
          <w:i/>
          <w:lang w:val="fr-CH" w:eastAsia="ja-JP"/>
        </w:rPr>
        <w:t>'</w:t>
      </w:r>
      <w:r w:rsidR="006C1A23" w:rsidRPr="006C1A23">
        <w:rPr>
          <w:i/>
          <w:lang w:val="fr-CH" w:eastAsia="ja-JP"/>
        </w:rPr>
        <w:t>UIT-R</w:t>
      </w:r>
      <w:r w:rsidR="006C1A23" w:rsidRPr="006C1A23">
        <w:rPr>
          <w:iCs/>
          <w:lang w:val="fr-CH" w:eastAsia="ja-JP"/>
        </w:rPr>
        <w:t xml:space="preserve"> en deux catégories en fonction </w:t>
      </w:r>
      <w:r w:rsidR="006C1A23">
        <w:rPr>
          <w:iCs/>
          <w:lang w:val="fr-CH" w:eastAsia="ja-JP"/>
        </w:rPr>
        <w:t>du service de radiocommunication concerné, sans en modifier le fond.</w:t>
      </w:r>
    </w:p>
    <w:p w:rsidR="00471319" w:rsidRPr="006C1A23" w:rsidRDefault="006C1A23" w:rsidP="00CF19D3">
      <w:pPr>
        <w:rPr>
          <w:lang w:val="fr-CH" w:eastAsia="ja-JP"/>
        </w:rPr>
      </w:pPr>
      <w:r w:rsidRPr="006C1A23">
        <w:rPr>
          <w:iCs/>
          <w:lang w:val="fr-CH" w:eastAsia="ja-JP"/>
        </w:rPr>
        <w:t xml:space="preserve">Ces deux points </w:t>
      </w:r>
      <w:r>
        <w:rPr>
          <w:iCs/>
          <w:lang w:val="fr-CH" w:eastAsia="ja-JP"/>
        </w:rPr>
        <w:t>constituent</w:t>
      </w:r>
      <w:r w:rsidRPr="006C1A23">
        <w:rPr>
          <w:iCs/>
          <w:lang w:val="fr-CH" w:eastAsia="ja-JP"/>
        </w:rPr>
        <w:t xml:space="preserve"> les seules différences </w:t>
      </w:r>
      <w:r>
        <w:rPr>
          <w:iCs/>
          <w:lang w:val="fr-CH" w:eastAsia="ja-JP"/>
        </w:rPr>
        <w:t>par rapport à</w:t>
      </w:r>
      <w:r w:rsidRPr="006C1A23">
        <w:rPr>
          <w:iCs/>
          <w:lang w:val="fr-CH" w:eastAsia="ja-JP"/>
        </w:rPr>
        <w:t xml:space="preserve"> la proposition </w:t>
      </w:r>
      <w:r w:rsidR="00471319" w:rsidRPr="006C1A23">
        <w:rPr>
          <w:iCs/>
          <w:lang w:val="fr-CH" w:eastAsia="ja-JP"/>
        </w:rPr>
        <w:t xml:space="preserve">ASP/32A24/15 </w:t>
      </w:r>
      <w:r>
        <w:rPr>
          <w:iCs/>
          <w:lang w:val="fr-CH" w:eastAsia="ja-JP"/>
        </w:rPr>
        <w:t>soumise par l</w:t>
      </w:r>
      <w:r w:rsidR="00254F26">
        <w:rPr>
          <w:iCs/>
          <w:lang w:val="fr-CH" w:eastAsia="ja-JP"/>
        </w:rPr>
        <w:t>'</w:t>
      </w:r>
      <w:r w:rsidR="00471319" w:rsidRPr="006C1A23">
        <w:rPr>
          <w:iCs/>
          <w:lang w:val="fr-CH" w:eastAsia="ja-JP"/>
        </w:rPr>
        <w:t>APT.</w:t>
      </w:r>
    </w:p>
    <w:p w:rsidR="003A583E" w:rsidRDefault="00471319" w:rsidP="00254F26">
      <w:pPr>
        <w:pStyle w:val="Headingb"/>
      </w:pPr>
      <w:r w:rsidRPr="00945899">
        <w:rPr>
          <w:rFonts w:hint="eastAsia"/>
          <w:lang w:val="fr-CH" w:eastAsia="ja-JP"/>
        </w:rPr>
        <w:t>Propos</w:t>
      </w:r>
      <w:r w:rsidR="00CE3456">
        <w:rPr>
          <w:lang w:val="fr-CH" w:eastAsia="ja-JP"/>
        </w:rPr>
        <w:t>ition</w:t>
      </w:r>
    </w:p>
    <w:p w:rsidR="0015203F" w:rsidRDefault="0015203F" w:rsidP="00CF19D3">
      <w:pPr>
        <w:tabs>
          <w:tab w:val="clear" w:pos="1134"/>
          <w:tab w:val="clear" w:pos="1871"/>
          <w:tab w:val="clear" w:pos="2268"/>
        </w:tabs>
        <w:overflowPunct/>
        <w:autoSpaceDE/>
        <w:autoSpaceDN/>
        <w:adjustRightInd/>
        <w:spacing w:before="0"/>
        <w:textAlignment w:val="auto"/>
      </w:pPr>
      <w:r>
        <w:br w:type="page"/>
      </w:r>
    </w:p>
    <w:p w:rsidR="00C40500" w:rsidRPr="00945899" w:rsidRDefault="00083864" w:rsidP="00CF19D3">
      <w:pPr>
        <w:pStyle w:val="Proposal"/>
        <w:rPr>
          <w:lang w:val="fr-CH"/>
        </w:rPr>
      </w:pPr>
      <w:r w:rsidRPr="00945899">
        <w:rPr>
          <w:lang w:val="fr-CH"/>
        </w:rPr>
        <w:lastRenderedPageBreak/>
        <w:t>ADD</w:t>
      </w:r>
      <w:r w:rsidRPr="00945899">
        <w:rPr>
          <w:lang w:val="fr-CH"/>
        </w:rPr>
        <w:tab/>
        <w:t>J/103A24/1</w:t>
      </w:r>
    </w:p>
    <w:p w:rsidR="007B180A" w:rsidRPr="00445A8F" w:rsidRDefault="007B180A" w:rsidP="00E452DF">
      <w:pPr>
        <w:pStyle w:val="ResNo"/>
      </w:pPr>
      <w:r w:rsidRPr="00445A8F">
        <w:t xml:space="preserve">Projet de nouvelle </w:t>
      </w:r>
      <w:r w:rsidR="00C355A5">
        <w:t>R</w:t>
      </w:r>
      <w:r w:rsidR="00E452DF">
        <w:t>Ésolution</w:t>
      </w:r>
      <w:r w:rsidR="00CF19D3">
        <w:br/>
      </w:r>
      <w:r w:rsidRPr="00445A8F">
        <w:t>[</w:t>
      </w:r>
      <w:r w:rsidR="00C355A5">
        <w:t>J-C10-MS&amp;FS_ABOVE_275</w:t>
      </w:r>
      <w:r w:rsidR="00CE3456">
        <w:t>GH</w:t>
      </w:r>
      <w:r w:rsidR="00CE3456" w:rsidRPr="00CE3456">
        <w:rPr>
          <w:caps w:val="0"/>
          <w:sz w:val="24"/>
          <w:szCs w:val="18"/>
        </w:rPr>
        <w:t>z</w:t>
      </w:r>
      <w:r w:rsidRPr="00445A8F">
        <w:t>] (CMR-15)</w:t>
      </w:r>
    </w:p>
    <w:p w:rsidR="007B180A" w:rsidRPr="0020425E" w:rsidRDefault="0020425E" w:rsidP="008F5495">
      <w:pPr>
        <w:pStyle w:val="Restitle"/>
        <w:rPr>
          <w:lang w:eastAsia="nl-NL"/>
        </w:rPr>
      </w:pPr>
      <w:r w:rsidRPr="0020425E">
        <w:rPr>
          <w:lang w:eastAsia="nl-NL"/>
        </w:rPr>
        <w:t>Mesures r</w:t>
      </w:r>
      <w:r>
        <w:rPr>
          <w:lang w:eastAsia="nl-NL"/>
        </w:rPr>
        <w:t>é</w:t>
      </w:r>
      <w:r w:rsidRPr="0020425E">
        <w:rPr>
          <w:lang w:eastAsia="nl-NL"/>
        </w:rPr>
        <w:t>glementaires appropri</w:t>
      </w:r>
      <w:r w:rsidR="008F5495">
        <w:rPr>
          <w:lang w:eastAsia="nl-NL"/>
        </w:rPr>
        <w:t>é</w:t>
      </w:r>
      <w:r w:rsidRPr="0020425E">
        <w:rPr>
          <w:lang w:eastAsia="nl-NL"/>
        </w:rPr>
        <w:t xml:space="preserve">es concernant le service mobile terrestre </w:t>
      </w:r>
      <w:r>
        <w:rPr>
          <w:lang w:eastAsia="nl-NL"/>
        </w:rPr>
        <w:br/>
      </w:r>
      <w:r w:rsidRPr="0020425E">
        <w:rPr>
          <w:lang w:eastAsia="nl-NL"/>
        </w:rPr>
        <w:t>et</w:t>
      </w:r>
      <w:r>
        <w:rPr>
          <w:lang w:eastAsia="nl-NL"/>
        </w:rPr>
        <w:t xml:space="preserve"> </w:t>
      </w:r>
      <w:r w:rsidRPr="0020425E">
        <w:rPr>
          <w:lang w:eastAsia="nl-NL"/>
        </w:rPr>
        <w:t xml:space="preserve">le service fixe fonctionnant dans la gamme de </w:t>
      </w:r>
      <w:r>
        <w:rPr>
          <w:lang w:eastAsia="nl-NL"/>
        </w:rPr>
        <w:br/>
        <w:t>fré</w:t>
      </w:r>
      <w:r w:rsidRPr="0020425E">
        <w:rPr>
          <w:lang w:eastAsia="nl-NL"/>
        </w:rPr>
        <w:t>quences 275-1 000 GHz</w:t>
      </w:r>
    </w:p>
    <w:p w:rsidR="007B180A" w:rsidRPr="00CF19D3" w:rsidRDefault="007B180A" w:rsidP="00CF19D3">
      <w:pPr>
        <w:pStyle w:val="Normalaftertitle"/>
        <w:rPr>
          <w:szCs w:val="24"/>
          <w:lang w:eastAsia="nl-NL"/>
        </w:rPr>
      </w:pPr>
      <w:r w:rsidRPr="00CF19D3">
        <w:rPr>
          <w:szCs w:val="24"/>
          <w:lang w:eastAsia="nl-NL"/>
        </w:rPr>
        <w:t>La Conférence mondiale des rad</w:t>
      </w:r>
      <w:r w:rsidR="00C355A5" w:rsidRPr="00CF19D3">
        <w:rPr>
          <w:szCs w:val="24"/>
          <w:lang w:eastAsia="nl-NL"/>
        </w:rPr>
        <w:t>iocommunications (Genève, 2015)</w:t>
      </w:r>
      <w:r w:rsidR="0020425E">
        <w:rPr>
          <w:szCs w:val="24"/>
          <w:lang w:eastAsia="nl-NL"/>
        </w:rPr>
        <w:t>,</w:t>
      </w:r>
    </w:p>
    <w:p w:rsidR="007B180A" w:rsidRPr="00CF19D3" w:rsidRDefault="007B180A" w:rsidP="00CF19D3">
      <w:pPr>
        <w:pStyle w:val="Call"/>
      </w:pPr>
      <w:r w:rsidRPr="00CF19D3">
        <w:t>considérant</w:t>
      </w:r>
    </w:p>
    <w:p w:rsidR="007B180A" w:rsidRPr="00CF19D3" w:rsidRDefault="007B180A" w:rsidP="00CF19D3">
      <w:r w:rsidRPr="00CF19D3">
        <w:rPr>
          <w:i/>
          <w:iCs/>
        </w:rPr>
        <w:t>a)</w:t>
      </w:r>
      <w:r w:rsidRPr="00CF19D3">
        <w:tab/>
        <w:t>qu'</w:t>
      </w:r>
      <w:r w:rsidRPr="00CF19D3">
        <w:rPr>
          <w:color w:val="000000"/>
        </w:rPr>
        <w:t xml:space="preserve">un certain nombre de bandes dans la gamme de fréquences 275-1 000 GHz sont identifiées pour être utilisées par les administrations pour les </w:t>
      </w:r>
      <w:r w:rsidRPr="00CF19D3">
        <w:rPr>
          <w:color w:val="000000"/>
          <w:szCs w:val="24"/>
        </w:rPr>
        <w:t>service</w:t>
      </w:r>
      <w:r w:rsidRPr="00CF19D3">
        <w:rPr>
          <w:color w:val="000000"/>
        </w:rPr>
        <w:t xml:space="preserve">s passifs, par exemple le </w:t>
      </w:r>
      <w:r w:rsidRPr="00CF19D3">
        <w:t>service de radioastronomie, le service d'exploration de la Terre par satellite (passive) et le service de recherche spatiale (passive)</w:t>
      </w:r>
      <w:r w:rsidRPr="00CF19D3">
        <w:rPr>
          <w:color w:val="000000"/>
        </w:rPr>
        <w:t>;</w:t>
      </w:r>
    </w:p>
    <w:p w:rsidR="007B180A" w:rsidRPr="00CF19D3" w:rsidRDefault="007B180A" w:rsidP="00CF19D3">
      <w:r w:rsidRPr="00CF19D3">
        <w:rPr>
          <w:i/>
          <w:iCs/>
        </w:rPr>
        <w:t>b)</w:t>
      </w:r>
      <w:r w:rsidRPr="00CF19D3">
        <w:tab/>
        <w:t xml:space="preserve">que, aux termes du numéro </w:t>
      </w:r>
      <w:r w:rsidRPr="00CF19D3">
        <w:rPr>
          <w:b/>
          <w:bCs/>
        </w:rPr>
        <w:t>5.565</w:t>
      </w:r>
      <w:r w:rsidRPr="00CF19D3">
        <w:t>, l'utilisation de la gamme de fréquences 275-1 000 GHz par les services passifs n'exclut pas l'utilisation de cette gamme de fréquences par les services actifs;</w:t>
      </w:r>
    </w:p>
    <w:p w:rsidR="007B180A" w:rsidRPr="00CF19D3" w:rsidRDefault="007B180A" w:rsidP="00CF19D3">
      <w:r w:rsidRPr="00CF19D3">
        <w:rPr>
          <w:i/>
          <w:iCs/>
        </w:rPr>
        <w:t>c)</w:t>
      </w:r>
      <w:r w:rsidRPr="00CF19D3">
        <w:tab/>
        <w:t>que les administrations souhaitant libérer des fréquences dans la gamme 275</w:t>
      </w:r>
      <w:r w:rsidRPr="00CF19D3">
        <w:noBreakHyphen/>
        <w:t xml:space="preserve">1 000 GHz pour les </w:t>
      </w:r>
      <w:r w:rsidRPr="00CF19D3">
        <w:rPr>
          <w:rFonts w:asciiTheme="majorBidi" w:hAnsiTheme="majorBidi" w:cstheme="majorBidi"/>
          <w:szCs w:val="24"/>
        </w:rPr>
        <w:t>applications</w:t>
      </w:r>
      <w:r w:rsidRPr="00CF19D3">
        <w:t xml:space="preserve"> des </w:t>
      </w:r>
      <w:r w:rsidRPr="00CF19D3">
        <w:rPr>
          <w:szCs w:val="24"/>
        </w:rPr>
        <w:t>service</w:t>
      </w:r>
      <w:r w:rsidRPr="00CF19D3">
        <w:t>s actifs sont instamment priées de prendre toutes les mesures pratiquement réalisables pour protéger ces services passifs contre les brouillages préjudiciables jusqu'à la date d'établissement du Tableau d'attribution des bandes de fréquences dans la gamme de fréquences 275</w:t>
      </w:r>
      <w:r w:rsidRPr="00CF19D3">
        <w:noBreakHyphen/>
        <w:t>1 000 GHz susmentionnée;</w:t>
      </w:r>
    </w:p>
    <w:p w:rsidR="007B180A" w:rsidRPr="00CF19D3" w:rsidRDefault="007B180A" w:rsidP="00CF19D3">
      <w:r w:rsidRPr="00CF19D3">
        <w:rPr>
          <w:i/>
          <w:iCs/>
        </w:rPr>
        <w:t>d)</w:t>
      </w:r>
      <w:r w:rsidRPr="00CF19D3">
        <w:tab/>
        <w:t>que, grâce aux efforts considérables déployés par de nombreuses organisations de recherche-développement, il devient possible d'exploiter les dispositifs actifs à la température ambiante dans la bande au-dessus de 275 GHz;</w:t>
      </w:r>
    </w:p>
    <w:p w:rsidR="007B180A" w:rsidRPr="00CF19D3" w:rsidRDefault="007B180A" w:rsidP="00CF19D3">
      <w:r w:rsidRPr="00CF19D3">
        <w:rPr>
          <w:i/>
          <w:iCs/>
        </w:rPr>
        <w:t>e)</w:t>
      </w:r>
      <w:r w:rsidRPr="00CF19D3">
        <w:rPr>
          <w:i/>
          <w:iCs/>
        </w:rPr>
        <w:tab/>
      </w:r>
      <w:r w:rsidRPr="00CF19D3">
        <w:t xml:space="preserve">que certaines organisations de recherche-développement ont démontré que des systèmes de communication de données à ultra-haut débit, pouvant atteindre 100 </w:t>
      </w:r>
      <w:r w:rsidRPr="00CF19D3">
        <w:rPr>
          <w:color w:val="000000"/>
        </w:rPr>
        <w:t>Gbit/s, pouvaient fonctionner</w:t>
      </w:r>
      <w:r w:rsidRPr="00CF19D3">
        <w:t xml:space="preserve"> dans la bande au-dessus de 275 GHz;</w:t>
      </w:r>
    </w:p>
    <w:p w:rsidR="007B180A" w:rsidRPr="00CF19D3" w:rsidRDefault="007B180A" w:rsidP="00CF19D3">
      <w:r w:rsidRPr="00CF19D3">
        <w:rPr>
          <w:i/>
          <w:iCs/>
        </w:rPr>
        <w:t>f)</w:t>
      </w:r>
      <w:r w:rsidRPr="00CF19D3">
        <w:tab/>
        <w:t>que l'IEEE élabore actuellement des normes relatives aux dispositifs utilisant la bande de fréquences au-dessus de 275 GHz;</w:t>
      </w:r>
    </w:p>
    <w:p w:rsidR="007B180A" w:rsidRPr="00CF19D3" w:rsidRDefault="007B180A" w:rsidP="00CF19D3">
      <w:r w:rsidRPr="00CF19D3">
        <w:rPr>
          <w:i/>
          <w:iCs/>
        </w:rPr>
        <w:t>g)</w:t>
      </w:r>
      <w:r w:rsidRPr="00CF19D3">
        <w:rPr>
          <w:i/>
          <w:iCs/>
        </w:rPr>
        <w:tab/>
      </w:r>
      <w:r w:rsidRPr="00CF19D3">
        <w:t>que la Commission d'études 3 de l'UIT-R a également étudié les caractéristiques de propagation des fréquences au-dessus de 275 GHz;</w:t>
      </w:r>
    </w:p>
    <w:p w:rsidR="007B180A" w:rsidRPr="00CF19D3" w:rsidRDefault="007B180A" w:rsidP="00CF19D3">
      <w:r w:rsidRPr="00CF19D3">
        <w:rPr>
          <w:i/>
          <w:iCs/>
        </w:rPr>
        <w:t>h)</w:t>
      </w:r>
      <w:r w:rsidRPr="00CF19D3">
        <w:tab/>
        <w:t>que l'UIT-R a procédé à des études sur les caractéristiques techniques et opérationnelles des services actifs fonctionnant dans la gamme 275-1 000 GHz;</w:t>
      </w:r>
    </w:p>
    <w:p w:rsidR="007B180A" w:rsidRPr="00CF19D3" w:rsidRDefault="007B180A" w:rsidP="00CF19D3">
      <w:r w:rsidRPr="00CF19D3">
        <w:rPr>
          <w:i/>
          <w:iCs/>
        </w:rPr>
        <w:t>i)</w:t>
      </w:r>
      <w:r w:rsidRPr="00CF19D3">
        <w:tab/>
        <w:t xml:space="preserve">que, par suite des études visées au point </w:t>
      </w:r>
      <w:r w:rsidRPr="00CF19D3">
        <w:rPr>
          <w:i/>
          <w:iCs/>
        </w:rPr>
        <w:t>h</w:t>
      </w:r>
      <w:r w:rsidRPr="00CF19D3">
        <w:t xml:space="preserve">) du </w:t>
      </w:r>
      <w:r w:rsidRPr="00CF19D3">
        <w:rPr>
          <w:i/>
          <w:iCs/>
        </w:rPr>
        <w:t>considérant</w:t>
      </w:r>
      <w:r w:rsidRPr="00CF19D3">
        <w:t>, l'UIT-R a commencé à étudier les caractéristiques techniques et opérationnelles du service mobile terrestre et du service fixe fonctionnant dans la gamme de fréquences 275-1 000 GHz;</w:t>
      </w:r>
    </w:p>
    <w:p w:rsidR="007B180A" w:rsidRPr="00CF19D3" w:rsidRDefault="007B180A" w:rsidP="00CF19D3">
      <w:r w:rsidRPr="00CF19D3">
        <w:rPr>
          <w:i/>
          <w:iCs/>
        </w:rPr>
        <w:t>j)</w:t>
      </w:r>
      <w:r w:rsidRPr="00CF19D3">
        <w:rPr>
          <w:i/>
          <w:iCs/>
        </w:rPr>
        <w:tab/>
      </w:r>
      <w:r w:rsidRPr="00CF19D3">
        <w:t xml:space="preserve">que le GT 7C a noté que les services actifs pouvaient causer des brouillages dans la gamme de fréquences 275-1 000 GHz, dans laquelle l'affaiblissement </w:t>
      </w:r>
      <w:r w:rsidRPr="00CF19D3">
        <w:rPr>
          <w:color w:val="000000"/>
        </w:rPr>
        <w:t xml:space="preserve">dû à l'atmosphère </w:t>
      </w:r>
      <w:r w:rsidRPr="00CF19D3">
        <w:t>est faible;</w:t>
      </w:r>
    </w:p>
    <w:p w:rsidR="007B180A" w:rsidRPr="00CF19D3" w:rsidRDefault="007B180A" w:rsidP="00CE3456">
      <w:r w:rsidRPr="00CF19D3">
        <w:rPr>
          <w:i/>
          <w:iCs/>
        </w:rPr>
        <w:t>k)</w:t>
      </w:r>
      <w:r w:rsidRPr="00CF19D3">
        <w:tab/>
        <w:t xml:space="preserve">qu'il faut garantir la coexistence entre les services passifs identifiés au numéro </w:t>
      </w:r>
      <w:r w:rsidRPr="00CE3456">
        <w:rPr>
          <w:b/>
          <w:bCs/>
        </w:rPr>
        <w:t>5.565</w:t>
      </w:r>
      <w:r w:rsidRPr="00CF19D3">
        <w:t xml:space="preserve"> et les services actifs récemment mis en place;</w:t>
      </w:r>
    </w:p>
    <w:p w:rsidR="007B180A" w:rsidRPr="00CF19D3" w:rsidRDefault="007B180A" w:rsidP="00CF19D3">
      <w:r w:rsidRPr="00CF19D3">
        <w:rPr>
          <w:i/>
          <w:iCs/>
        </w:rPr>
        <w:lastRenderedPageBreak/>
        <w:t>l)</w:t>
      </w:r>
      <w:r w:rsidRPr="00CF19D3">
        <w:tab/>
        <w:t>que les caractéristiques techniques et opérationnelles du service mobile terrestre et du service fixe fonctionnant dans la gamme de fréquences 275-1 000 GHz n'ont pas été définies et qu'un complément d'étude est nécessaire;</w:t>
      </w:r>
    </w:p>
    <w:p w:rsidR="007B180A" w:rsidRPr="00CF19D3" w:rsidRDefault="007B180A" w:rsidP="00CF19D3">
      <w:r w:rsidRPr="00CF19D3">
        <w:rPr>
          <w:i/>
          <w:iCs/>
        </w:rPr>
        <w:t>m)</w:t>
      </w:r>
      <w:r w:rsidRPr="00CF19D3">
        <w:tab/>
        <w:t>qu'il est nécessaire de disposer des modèles de propagation du service mobile terrestre et du service fixe fonctionnant dans la gamme de fréquences 275-1 000 GHz;</w:t>
      </w:r>
    </w:p>
    <w:p w:rsidR="007B180A" w:rsidRPr="00CF19D3" w:rsidRDefault="007B180A" w:rsidP="00CF19D3">
      <w:r w:rsidRPr="00CF19D3">
        <w:rPr>
          <w:i/>
          <w:iCs/>
        </w:rPr>
        <w:t>n)</w:t>
      </w:r>
      <w:r w:rsidRPr="00CF19D3">
        <w:tab/>
        <w:t>qu'aucune étude de partage et de compatibilité entre les services passifs et le service mobile terrestre ainsi que le service fixe fonctionnant dans la gamme de fréquences 275-1 000 GHz n'a été effectuée,</w:t>
      </w:r>
    </w:p>
    <w:p w:rsidR="007B180A" w:rsidRPr="00CF19D3" w:rsidRDefault="007B180A" w:rsidP="00CF19D3">
      <w:pPr>
        <w:pStyle w:val="Call"/>
      </w:pPr>
      <w:r w:rsidRPr="00CF19D3">
        <w:t>notant</w:t>
      </w:r>
    </w:p>
    <w:p w:rsidR="007B180A" w:rsidRPr="00CF19D3" w:rsidRDefault="007B180A" w:rsidP="00CF19D3">
      <w:r w:rsidRPr="00CF19D3">
        <w:rPr>
          <w:i/>
          <w:iCs/>
        </w:rPr>
        <w:t>a)</w:t>
      </w:r>
      <w:r w:rsidRPr="00CF19D3">
        <w:tab/>
        <w:t>que la Question UIT-R 228-2/3 «Données de propagation requises pour la planification des systèmes de radiocommunication fonctionnant au-dessus de 275 GHz» traite des études sur les modèles de propagation qui décrivent le mieux la relation entre les paramètres atmosphériques et les caractéristiques des ondes électromagnétiques sur les liaisons de Terre fonctionnant aux fréquences supérieures à 275 GHz;</w:t>
      </w:r>
    </w:p>
    <w:p w:rsidR="007B180A" w:rsidRPr="00CF19D3" w:rsidRDefault="007B180A" w:rsidP="00CF19D3">
      <w:r w:rsidRPr="00CF19D3">
        <w:rPr>
          <w:i/>
          <w:iCs/>
        </w:rPr>
        <w:t>b)</w:t>
      </w:r>
      <w:r w:rsidRPr="00CF19D3">
        <w:tab/>
        <w:t>que la Question UIT-R 264/4 «Caractéristiques techniques et opérationnelles des réseaux du service fixe par satellite fonctionnant au-dessus de 275 GHz» traite des études sur les caractéristiques techniques et opérationnelles des liaisons Terre vers espace, espace vers Terre et espace-espace aux fréquences supérieures à 275 GHz;</w:t>
      </w:r>
    </w:p>
    <w:p w:rsidR="007B180A" w:rsidRPr="00CF19D3" w:rsidRDefault="007B180A" w:rsidP="00CF19D3">
      <w:r w:rsidRPr="00CF19D3">
        <w:rPr>
          <w:i/>
          <w:iCs/>
        </w:rPr>
        <w:t>c)</w:t>
      </w:r>
      <w:r w:rsidRPr="00CF19D3">
        <w:tab/>
        <w:t>que la Question UIT-R 235-1/7 «Caractéristiques techniques et opérationnelles des applications des services scientifiques fonctionnant au-dessus de 275 GHz» guide les études relatives aux caractéristiques techniques et opérationnelles des systèmes fonctionnant aux fréquences supérieures à 275 GHz pour les services scientifiques;</w:t>
      </w:r>
    </w:p>
    <w:p w:rsidR="007B180A" w:rsidRPr="00CF19D3" w:rsidRDefault="007B180A" w:rsidP="00CF19D3">
      <w:pPr>
        <w:rPr>
          <w:szCs w:val="24"/>
          <w:lang w:eastAsia="ja-JP"/>
        </w:rPr>
      </w:pPr>
      <w:r w:rsidRPr="00CF19D3">
        <w:rPr>
          <w:i/>
          <w:iCs/>
        </w:rPr>
        <w:t>d)</w:t>
      </w:r>
      <w:r w:rsidRPr="00CF19D3">
        <w:tab/>
        <w:t>que la Question UIT-R 237/1 «Caractéristiques techniques et opérationnelles des services actifs fonctionnant dans la gamme 275-1 000 GHz»</w:t>
      </w:r>
      <w:r w:rsidRPr="00CF19D3">
        <w:rPr>
          <w:szCs w:val="24"/>
          <w:lang w:eastAsia="ja-JP"/>
        </w:rPr>
        <w:t xml:space="preserve"> porte sur les études relatives aux caractéristiques techniques et opérationnelles des services actifs dans la gamme de fréquences 275-1 000 GHz;</w:t>
      </w:r>
    </w:p>
    <w:p w:rsidR="005E195B" w:rsidRPr="00CF19D3" w:rsidRDefault="005E195B" w:rsidP="00F24046">
      <w:pPr>
        <w:rPr>
          <w:lang w:val="fr-CH"/>
        </w:rPr>
      </w:pPr>
      <w:r w:rsidRPr="00CE3456">
        <w:rPr>
          <w:i/>
          <w:iCs/>
          <w:lang w:val="fr-CH"/>
        </w:rPr>
        <w:t>e)</w:t>
      </w:r>
      <w:r w:rsidRPr="00CF19D3">
        <w:rPr>
          <w:lang w:val="fr-CH"/>
        </w:rPr>
        <w:tab/>
      </w:r>
      <w:r w:rsidR="00C355A5" w:rsidRPr="00CF19D3">
        <w:rPr>
          <w:lang w:val="fr-CH"/>
        </w:rPr>
        <w:t>que la Question UIT-R 256-0/5</w:t>
      </w:r>
      <w:r w:rsidR="003521FA">
        <w:rPr>
          <w:lang w:val="fr-CH"/>
        </w:rPr>
        <w:t xml:space="preserve"> «</w:t>
      </w:r>
      <w:r w:rsidR="00C355A5" w:rsidRPr="00CF19D3">
        <w:rPr>
          <w:lang w:val="fr-CH"/>
        </w:rPr>
        <w:t xml:space="preserve">Caractéristiques techniques et opérationnelles du service mobile terrestre dans la gamme de fréquences 275-1 000 GHz» </w:t>
      </w:r>
      <w:r w:rsidR="00F24046">
        <w:rPr>
          <w:lang w:val="fr-CH"/>
        </w:rPr>
        <w:t>traite</w:t>
      </w:r>
      <w:r w:rsidR="00C355A5" w:rsidRPr="00CF19D3">
        <w:rPr>
          <w:lang w:val="fr-CH"/>
        </w:rPr>
        <w:t xml:space="preserve"> des études </w:t>
      </w:r>
      <w:r w:rsidR="00E82A15" w:rsidRPr="00CF19D3">
        <w:rPr>
          <w:lang w:val="fr-CH"/>
        </w:rPr>
        <w:t>portant sur l</w:t>
      </w:r>
      <w:r w:rsidR="00C355A5" w:rsidRPr="00CF19D3">
        <w:rPr>
          <w:lang w:val="fr-CH"/>
        </w:rPr>
        <w:t>es caractéristiques technique</w:t>
      </w:r>
      <w:r w:rsidR="00E82A15" w:rsidRPr="00CF19D3">
        <w:rPr>
          <w:lang w:val="fr-CH"/>
        </w:rPr>
        <w:t>s et opérationnelles du service</w:t>
      </w:r>
      <w:r w:rsidR="00C355A5" w:rsidRPr="00CF19D3">
        <w:rPr>
          <w:lang w:val="fr-CH"/>
        </w:rPr>
        <w:t xml:space="preserve"> mobile terrestre dans la gamme de fréquences 275-1 000 GHz;</w:t>
      </w:r>
    </w:p>
    <w:p w:rsidR="00C355A5" w:rsidRPr="00CF19D3" w:rsidRDefault="005E195B" w:rsidP="00F24046">
      <w:pPr>
        <w:rPr>
          <w:lang w:val="fr-CH"/>
        </w:rPr>
      </w:pPr>
      <w:r w:rsidRPr="00CE3456">
        <w:rPr>
          <w:i/>
          <w:iCs/>
          <w:lang w:val="fr-CH"/>
        </w:rPr>
        <w:t>f)</w:t>
      </w:r>
      <w:r w:rsidRPr="00CF19D3">
        <w:rPr>
          <w:lang w:val="fr-CH"/>
        </w:rPr>
        <w:tab/>
      </w:r>
      <w:r w:rsidR="00C355A5" w:rsidRPr="00CF19D3">
        <w:rPr>
          <w:lang w:val="fr-CH"/>
        </w:rPr>
        <w:t>que la Question UIT-R 25</w:t>
      </w:r>
      <w:r w:rsidR="00C355A5" w:rsidRPr="00CF19D3">
        <w:rPr>
          <w:rFonts w:eastAsia="MS Mincho" w:hint="eastAsia"/>
          <w:lang w:val="fr-CH" w:eastAsia="ja-JP"/>
        </w:rPr>
        <w:t>7</w:t>
      </w:r>
      <w:r w:rsidR="00C355A5" w:rsidRPr="00CF19D3">
        <w:rPr>
          <w:lang w:val="fr-CH"/>
        </w:rPr>
        <w:t xml:space="preserve">-0/5 </w:t>
      </w:r>
      <w:r w:rsidR="003521FA">
        <w:rPr>
          <w:lang w:val="fr-CH"/>
        </w:rPr>
        <w:t>«</w:t>
      </w:r>
      <w:r w:rsidR="00C355A5" w:rsidRPr="00CF19D3">
        <w:rPr>
          <w:lang w:val="fr-CH"/>
        </w:rPr>
        <w:t xml:space="preserve">Caractéristiques techniques et opérationnelles des stations du service fixe fonctionnant dans la gamme de fréquences 275-1 000 GHz» </w:t>
      </w:r>
      <w:r w:rsidR="00F24046">
        <w:rPr>
          <w:lang w:val="fr-CH"/>
        </w:rPr>
        <w:t>traite</w:t>
      </w:r>
      <w:r w:rsidR="00C355A5" w:rsidRPr="00CF19D3">
        <w:rPr>
          <w:lang w:val="fr-CH"/>
        </w:rPr>
        <w:t xml:space="preserve"> des études </w:t>
      </w:r>
      <w:r w:rsidR="00E82A15" w:rsidRPr="00CF19D3">
        <w:rPr>
          <w:lang w:val="fr-CH"/>
        </w:rPr>
        <w:t xml:space="preserve">portant sur les </w:t>
      </w:r>
      <w:r w:rsidR="00C355A5" w:rsidRPr="00CF19D3">
        <w:rPr>
          <w:lang w:val="fr-CH"/>
        </w:rPr>
        <w:t>caractéristiques techniques et opérationnelles des stations du service fixe fonctionnant dans la gamme de fréquences 275-1 000 GHz;</w:t>
      </w:r>
    </w:p>
    <w:p w:rsidR="005E195B" w:rsidRPr="00CF19D3" w:rsidRDefault="005E195B" w:rsidP="00CE3456">
      <w:r w:rsidRPr="00CF19D3">
        <w:rPr>
          <w:i/>
          <w:iCs/>
          <w:szCs w:val="24"/>
          <w:lang w:eastAsia="ja-JP"/>
        </w:rPr>
        <w:t>g)</w:t>
      </w:r>
      <w:r w:rsidRPr="00CF19D3">
        <w:rPr>
          <w:szCs w:val="24"/>
          <w:lang w:eastAsia="ja-JP"/>
        </w:rPr>
        <w:tab/>
      </w:r>
      <w:r w:rsidRPr="00CF19D3">
        <w:t xml:space="preserve">que la Recommandation UIT-R </w:t>
      </w:r>
      <w:hyperlink r:id="rId13" w:history="1">
        <w:r w:rsidR="00CE3456" w:rsidRPr="0008399B">
          <w:rPr>
            <w:rStyle w:val="Hyperlink"/>
          </w:rPr>
          <w:t>P.676</w:t>
        </w:r>
      </w:hyperlink>
      <w:r w:rsidRPr="00CF19D3">
        <w:t>-10 «</w:t>
      </w:r>
      <w:bookmarkStart w:id="7" w:name="Pre_title"/>
      <w:r w:rsidRPr="00CF19D3">
        <w:t>Affaiblissement dû aux gaz de l'atmosphère</w:t>
      </w:r>
      <w:bookmarkEnd w:id="7"/>
      <w:r w:rsidRPr="00CF19D3">
        <w:t xml:space="preserve">» </w:t>
      </w:r>
      <w:r w:rsidRPr="00CF19D3">
        <w:rPr>
          <w:color w:val="000000"/>
        </w:rPr>
        <w:t>décrit des méthodes permettant d'évaluer l'affaiblissement dû aux gaz de l'atmosphère sur les trajets terrestres et les trajets obliques, en utilisant</w:t>
      </w:r>
      <w:r w:rsidRPr="00CF19D3">
        <w:t xml:space="preserve"> une estimation de l'affaiblissement dû aux gaz calculé par une sommation des contributions de chaque raie d'absorption dans la gamme de fréquences 1-1 000 GHz et une méthode approximative simplifiée permettant d'estimer l'affaiblissement dû aux gaz dans la gamme de fréquences 1-350 GHz;</w:t>
      </w:r>
    </w:p>
    <w:p w:rsidR="005E195B" w:rsidRPr="00CF19D3" w:rsidRDefault="005E195B" w:rsidP="00CE3456">
      <w:r w:rsidRPr="00CF19D3">
        <w:rPr>
          <w:i/>
          <w:iCs/>
        </w:rPr>
        <w:t>h)</w:t>
      </w:r>
      <w:r w:rsidRPr="00CF19D3">
        <w:tab/>
        <w:t xml:space="preserve">que la Recommandation UIT-R </w:t>
      </w:r>
      <w:hyperlink r:id="rId14" w:history="1">
        <w:r w:rsidR="00CE3456" w:rsidRPr="0008399B">
          <w:rPr>
            <w:rStyle w:val="Hyperlink"/>
          </w:rPr>
          <w:t>P.838</w:t>
        </w:r>
      </w:hyperlink>
      <w:r w:rsidRPr="00CF19D3">
        <w:t>-3 «Modèle d'affaiblissement linéique dû à la pluie destiné aux méthodes de prévision»</w:t>
      </w:r>
      <w:r w:rsidRPr="00CF19D3">
        <w:rPr>
          <w:color w:val="000000"/>
        </w:rPr>
        <w:t xml:space="preserve"> fournit le modèle d'affaiblissement linéique dû à la pluie destiné aux méthodes de prévision;</w:t>
      </w:r>
    </w:p>
    <w:p w:rsidR="005E195B" w:rsidRPr="00CF19D3" w:rsidRDefault="005E195B" w:rsidP="00CE3456">
      <w:r w:rsidRPr="00CF19D3">
        <w:rPr>
          <w:i/>
          <w:iCs/>
        </w:rPr>
        <w:t>i)</w:t>
      </w:r>
      <w:r w:rsidRPr="00CF19D3">
        <w:tab/>
        <w:t xml:space="preserve">que la Recommandation UIT-R </w:t>
      </w:r>
      <w:hyperlink r:id="rId15" w:history="1">
        <w:r w:rsidR="00CE3456" w:rsidRPr="0008399B">
          <w:rPr>
            <w:rStyle w:val="Hyperlink"/>
          </w:rPr>
          <w:t>P.840</w:t>
        </w:r>
      </w:hyperlink>
      <w:r w:rsidRPr="00CF19D3">
        <w:t>-6 «Affaiblissement dû aux nuages et au brouillard» décrit des méthodes permettant de prévoir l'affaiblissement dû aux nuages et au brouillard sur les trajets Terre vers espace;</w:t>
      </w:r>
    </w:p>
    <w:p w:rsidR="005E195B" w:rsidRPr="00CF19D3" w:rsidRDefault="005E195B" w:rsidP="00CF19D3">
      <w:r w:rsidRPr="00CF19D3">
        <w:rPr>
          <w:i/>
          <w:iCs/>
        </w:rPr>
        <w:t>j)</w:t>
      </w:r>
      <w:r w:rsidRPr="00CF19D3">
        <w:tab/>
        <w:t>que le Rapport UIT-R RA.2189 «Partage entre le service de radioastronomie et les services actifs (</w:t>
      </w:r>
      <w:r w:rsidRPr="00CF19D3">
        <w:rPr>
          <w:color w:val="000000"/>
        </w:rPr>
        <w:t>système aéroporté</w:t>
      </w:r>
      <w:r w:rsidRPr="00CF19D3">
        <w:t>,</w:t>
      </w:r>
      <w:r w:rsidRPr="00CF19D3">
        <w:rPr>
          <w:color w:val="000000"/>
        </w:rPr>
        <w:t xml:space="preserve"> système</w:t>
      </w:r>
      <w:r w:rsidRPr="00CF19D3">
        <w:t xml:space="preserve"> non GSO) dans la gamme de fréquences 275-3 000 GHz» traite du partage entre le service de radioastronomie et les services actifs dans la gamme 275-3 000 GHz;</w:t>
      </w:r>
    </w:p>
    <w:p w:rsidR="005E195B" w:rsidRPr="00CF19D3" w:rsidRDefault="005E195B" w:rsidP="00CF19D3">
      <w:pPr>
        <w:keepLines/>
      </w:pPr>
      <w:r w:rsidRPr="00CF19D3">
        <w:rPr>
          <w:i/>
          <w:iCs/>
        </w:rPr>
        <w:t>k)</w:t>
      </w:r>
      <w:r w:rsidRPr="00CF19D3">
        <w:rPr>
          <w:i/>
          <w:iCs/>
        </w:rPr>
        <w:tab/>
      </w:r>
      <w:r w:rsidRPr="00CF19D3">
        <w:t>que le Rapport UIT-R F.2323-0 «Utilisation du service fixe et tendances futures»</w:t>
      </w:r>
      <w:r w:rsidRPr="00CF19D3">
        <w:rPr>
          <w:color w:val="000000"/>
        </w:rPr>
        <w:t xml:space="preserve"> fournit des indications sur l'évolution future du service fixe (SF), compte tenu de l'évolution de l'utilisation actuelle et des progrès techniques, des applications pour les systèmes hertziens fixes et des besoins futurs des systèmes hertziens fixes</w:t>
      </w:r>
      <w:r w:rsidRPr="00CF19D3">
        <w:t>;</w:t>
      </w:r>
    </w:p>
    <w:p w:rsidR="005E195B" w:rsidRPr="00CF19D3" w:rsidRDefault="005E195B" w:rsidP="00CF19D3">
      <w:r w:rsidRPr="00CF19D3">
        <w:rPr>
          <w:i/>
          <w:iCs/>
        </w:rPr>
        <w:t>l)</w:t>
      </w:r>
      <w:r w:rsidRPr="00CF19D3">
        <w:tab/>
        <w:t>que le Rapport UIT-R SM.2352-0 «L</w:t>
      </w:r>
      <w:r w:rsidRPr="00CF19D3">
        <w:rPr>
          <w:rFonts w:asciiTheme="majorBidi" w:hAnsiTheme="majorBidi" w:cstheme="majorBidi"/>
          <w:lang w:eastAsia="ja-JP"/>
        </w:rPr>
        <w:t>ignes d'évolution technologique des services actifs exploités dans la gamme de fréquences 275-3 000 GHz»</w:t>
      </w:r>
      <w:r w:rsidRPr="00CF19D3">
        <w:t xml:space="preserve"> </w:t>
      </w:r>
      <w:r w:rsidRPr="00CF19D3">
        <w:rPr>
          <w:color w:val="000000"/>
        </w:rPr>
        <w:t>donne les lignes d'évolution technologique des services actifs exploités dans la gamme de fréquences</w:t>
      </w:r>
      <w:r w:rsidRPr="00CF19D3">
        <w:t xml:space="preserve"> 275-3 000 GHz,</w:t>
      </w:r>
    </w:p>
    <w:p w:rsidR="00647AA8" w:rsidRPr="00254F26" w:rsidRDefault="00647AA8" w:rsidP="00254F26">
      <w:pPr>
        <w:pStyle w:val="Call"/>
      </w:pPr>
      <w:r w:rsidRPr="0020425E">
        <w:t>décide</w:t>
      </w:r>
    </w:p>
    <w:p w:rsidR="00647AA8" w:rsidRPr="00CF19D3" w:rsidRDefault="00647AA8" w:rsidP="00CF19D3">
      <w:r w:rsidRPr="00CF19D3">
        <w:t>d</w:t>
      </w:r>
      <w:r w:rsidR="00254F26">
        <w:t>'</w:t>
      </w:r>
      <w:r w:rsidRPr="00CF19D3">
        <w:t>examiner les mesures réglementaires appropriées à prendre pour identifier l'exploitation du service mobile terrestre et du service fixe dans la gamme de fréquences 275-1 000 GHz, compte tenu des résultats des études de l'UIT-R,</w:t>
      </w:r>
    </w:p>
    <w:p w:rsidR="005E195B" w:rsidRPr="00254F26" w:rsidRDefault="005E195B" w:rsidP="00254F26">
      <w:pPr>
        <w:pStyle w:val="Call"/>
      </w:pPr>
      <w:r w:rsidRPr="0020425E">
        <w:t>invite l'UIT-R</w:t>
      </w:r>
    </w:p>
    <w:p w:rsidR="005E195B" w:rsidRPr="00CF19D3" w:rsidRDefault="005E195B" w:rsidP="00CF19D3">
      <w:r w:rsidRPr="00CF19D3">
        <w:t>1</w:t>
      </w:r>
      <w:r w:rsidRPr="00CF19D3">
        <w:tab/>
        <w:t>à définir les caractéristiques envisageables des systèmes du service mobile terrestre fonctionnant dans la gamme de fréquences 275-1 000 GHz;</w:t>
      </w:r>
    </w:p>
    <w:p w:rsidR="00707E9F" w:rsidRPr="00CF19D3" w:rsidRDefault="00707E9F" w:rsidP="00CF19D3">
      <w:r w:rsidRPr="00CF19D3">
        <w:t>2</w:t>
      </w:r>
      <w:r w:rsidRPr="00CF19D3">
        <w:tab/>
        <w:t>à définir les caractéristiques envisageables des systèmes du service fixe fonctionnant dans la gamme de fréquences 275-1 000 GHz;</w:t>
      </w:r>
    </w:p>
    <w:p w:rsidR="00707E9F" w:rsidRPr="00CF19D3" w:rsidRDefault="00707E9F" w:rsidP="00CF19D3">
      <w:r w:rsidRPr="00CF19D3">
        <w:t>3</w:t>
      </w:r>
      <w:r w:rsidRPr="00CF19D3">
        <w:tab/>
        <w:t>à étudier les besoins de fréquences du service mobile terrestre, compte tenu des caractéristiques tech</w:t>
      </w:r>
      <w:r w:rsidR="00647AA8" w:rsidRPr="00CF19D3">
        <w:t>niques et opérationnelles de ce</w:t>
      </w:r>
      <w:r w:rsidRPr="00CF19D3">
        <w:t xml:space="preserve"> </w:t>
      </w:r>
      <w:r w:rsidR="00647AA8" w:rsidRPr="00CF19D3">
        <w:t>service</w:t>
      </w:r>
      <w:r w:rsidRPr="00CF19D3">
        <w:t xml:space="preserve"> fonctionnant dans la gamme de fréquences 275-1 000 GHz;</w:t>
      </w:r>
    </w:p>
    <w:p w:rsidR="005E195B" w:rsidRPr="00CF19D3" w:rsidRDefault="00707E9F" w:rsidP="00CF19D3">
      <w:r w:rsidRPr="00CF19D3">
        <w:t>4</w:t>
      </w:r>
      <w:r w:rsidR="005E195B" w:rsidRPr="00CF19D3">
        <w:tab/>
      </w:r>
      <w:r w:rsidRPr="00CF19D3">
        <w:t>à étudier les besoins de fréquences du service fixe, compte tenu des caractéristiques tech</w:t>
      </w:r>
      <w:r w:rsidR="00647AA8" w:rsidRPr="00CF19D3">
        <w:t>niques et opérationnelles de ce service</w:t>
      </w:r>
      <w:r w:rsidRPr="00CF19D3">
        <w:t xml:space="preserve"> fonctionnant da</w:t>
      </w:r>
      <w:r w:rsidR="00CE3456">
        <w:t>ns la gamme de fréquences 275-1 000 </w:t>
      </w:r>
      <w:r w:rsidRPr="00CF19D3">
        <w:t>GHz;</w:t>
      </w:r>
    </w:p>
    <w:p w:rsidR="005E195B" w:rsidRPr="00CF19D3" w:rsidRDefault="00707E9F" w:rsidP="00CF19D3">
      <w:r w:rsidRPr="00CF19D3">
        <w:t>5</w:t>
      </w:r>
      <w:r w:rsidR="005E195B" w:rsidRPr="00CF19D3">
        <w:tab/>
        <w:t>à procéder à des études de partage et de compatibilité entre les services passifs et le service mobile terrestre, ainsi qu'entre les services actifs, fonctionnant dans la gamme de fréquences 275-1 000 GHz;</w:t>
      </w:r>
    </w:p>
    <w:p w:rsidR="00707E9F" w:rsidRPr="00CF19D3" w:rsidRDefault="00707E9F" w:rsidP="00254F26">
      <w:r w:rsidRPr="00CF19D3">
        <w:t>6</w:t>
      </w:r>
      <w:r w:rsidRPr="00CF19D3">
        <w:tab/>
        <w:t>à procéder à des études de partage et de compatibilité entre les services passifs</w:t>
      </w:r>
      <w:r w:rsidR="00647AA8" w:rsidRPr="00CF19D3">
        <w:t xml:space="preserve"> et</w:t>
      </w:r>
      <w:r w:rsidRPr="00CF19D3">
        <w:t xml:space="preserve"> le service fixe, ainsi qu'entre les services actifs, fonctionnant dans la gamme de fréquences 275-1</w:t>
      </w:r>
      <w:r w:rsidR="00254F26">
        <w:t> </w:t>
      </w:r>
      <w:r w:rsidRPr="00CF19D3">
        <w:t>000</w:t>
      </w:r>
      <w:r w:rsidR="00254F26">
        <w:t> </w:t>
      </w:r>
      <w:r w:rsidRPr="00CF19D3">
        <w:t>GHz;</w:t>
      </w:r>
    </w:p>
    <w:p w:rsidR="00707E9F" w:rsidRPr="00CF19D3" w:rsidRDefault="00707E9F" w:rsidP="00CF19D3">
      <w:r w:rsidRPr="00CF19D3">
        <w:t>7</w:t>
      </w:r>
      <w:r w:rsidRPr="00CF19D3">
        <w:tab/>
        <w:t xml:space="preserve">à étudier les bandes de fréquences qui pourraient être envisagées en vue de leur utilisation par le service mobile terrestre, compte tenu des résultats des études visées aux points 1, 3 et 5 du </w:t>
      </w:r>
      <w:r w:rsidRPr="00CF19D3">
        <w:rPr>
          <w:i/>
          <w:iCs/>
        </w:rPr>
        <w:t>invite l'UIT-R</w:t>
      </w:r>
      <w:r w:rsidRPr="00CF19D3">
        <w:t xml:space="preserve"> et de la protection des services passifs dont il est question au numéro </w:t>
      </w:r>
      <w:r w:rsidRPr="00CF19D3">
        <w:rPr>
          <w:b/>
          <w:bCs/>
        </w:rPr>
        <w:t>5.565</w:t>
      </w:r>
      <w:r w:rsidR="00CE3456">
        <w:t>;</w:t>
      </w:r>
    </w:p>
    <w:p w:rsidR="00707E9F" w:rsidRPr="00CF19D3" w:rsidRDefault="00707E9F" w:rsidP="00CF19D3">
      <w:r w:rsidRPr="00CF19D3">
        <w:t>8</w:t>
      </w:r>
      <w:r w:rsidRPr="00CF19D3">
        <w:tab/>
        <w:t xml:space="preserve">à étudier les bandes de fréquences qui pourraient être envisagées en vue de leur utilisation par le service fixe, compte tenu des résultats des études visées aux points 2, 4 et 6 du </w:t>
      </w:r>
      <w:r w:rsidRPr="00CF19D3">
        <w:rPr>
          <w:i/>
          <w:iCs/>
        </w:rPr>
        <w:t>invite l'UIT-R</w:t>
      </w:r>
      <w:r w:rsidRPr="00CF19D3">
        <w:t xml:space="preserve"> et de la protection des services passifs dont il est question au numéro </w:t>
      </w:r>
      <w:r w:rsidRPr="00CF19D3">
        <w:rPr>
          <w:b/>
          <w:bCs/>
        </w:rPr>
        <w:t>5.565</w:t>
      </w:r>
      <w:r w:rsidRPr="00CF19D3">
        <w:t>,</w:t>
      </w:r>
    </w:p>
    <w:p w:rsidR="005E195B" w:rsidRPr="00CF19D3" w:rsidRDefault="005E195B" w:rsidP="00CF19D3">
      <w:pPr>
        <w:pStyle w:val="Call"/>
        <w:rPr>
          <w:rFonts w:eastAsia="MS Mincho"/>
          <w:lang w:eastAsia="ja-JP"/>
        </w:rPr>
      </w:pPr>
      <w:r w:rsidRPr="00CF19D3">
        <w:t>encourage les Etats Membres, les Membres de Secteur, les établissements universitaires et les Associés</w:t>
      </w:r>
    </w:p>
    <w:p w:rsidR="005E195B" w:rsidRPr="00CF19D3" w:rsidRDefault="005E195B" w:rsidP="00CF19D3">
      <w:pPr>
        <w:rPr>
          <w:rFonts w:eastAsia="MS Mincho"/>
          <w:lang w:eastAsia="ja-JP"/>
        </w:rPr>
      </w:pPr>
      <w:r w:rsidRPr="00CF19D3">
        <w:rPr>
          <w:lang w:eastAsia="nl-NL"/>
        </w:rPr>
        <w:t xml:space="preserve">à soumettre des contributions pendant la période d'études sur leur évaluation des incidences sur les </w:t>
      </w:r>
      <w:r w:rsidRPr="00CF19D3">
        <w:rPr>
          <w:szCs w:val="24"/>
          <w:lang w:eastAsia="nl-NL"/>
        </w:rPr>
        <w:t>service</w:t>
      </w:r>
      <w:r w:rsidRPr="00CF19D3">
        <w:rPr>
          <w:lang w:eastAsia="nl-NL"/>
        </w:rPr>
        <w:t>s identifiés, sur la base des études effectuées au titre de la présente Résolution,</w:t>
      </w:r>
    </w:p>
    <w:p w:rsidR="005E195B" w:rsidRPr="00CF19D3" w:rsidRDefault="005E195B" w:rsidP="00CF19D3">
      <w:pPr>
        <w:pStyle w:val="Call"/>
        <w:rPr>
          <w:lang w:eastAsia="nl-NL"/>
        </w:rPr>
      </w:pPr>
      <w:r w:rsidRPr="00CF19D3">
        <w:rPr>
          <w:lang w:eastAsia="nl-NL"/>
        </w:rPr>
        <w:t>invite les administrations</w:t>
      </w:r>
    </w:p>
    <w:p w:rsidR="005E195B" w:rsidRPr="00CF19D3" w:rsidRDefault="005E195B" w:rsidP="00CF19D3">
      <w:r w:rsidRPr="00CF19D3">
        <w:rPr>
          <w:lang w:eastAsia="nl-NL"/>
        </w:rPr>
        <w:t>à participer aux études en soumettant des contributions à l'UIT-R.</w:t>
      </w:r>
    </w:p>
    <w:p w:rsidR="005E195B" w:rsidRPr="00252545" w:rsidRDefault="005E195B" w:rsidP="00254F26">
      <w:pPr>
        <w:pStyle w:val="Reasons"/>
        <w:rPr>
          <w:lang w:val="fr-CH"/>
        </w:rPr>
      </w:pPr>
      <w:r w:rsidRPr="00CF19D3">
        <w:rPr>
          <w:b/>
        </w:rPr>
        <w:t>Motifs:</w:t>
      </w:r>
      <w:r w:rsidRPr="00CF19D3">
        <w:tab/>
        <w:t xml:space="preserve"> </w:t>
      </w:r>
      <w:r w:rsidR="006F000E" w:rsidRPr="00CF19D3">
        <w:t>Satisfaire les</w:t>
      </w:r>
      <w:r w:rsidR="00647AA8" w:rsidRPr="00CF19D3">
        <w:t xml:space="preserve"> besoins de spectre </w:t>
      </w:r>
      <w:r w:rsidR="009A45B3" w:rsidRPr="00CF19D3">
        <w:t>au niveau international</w:t>
      </w:r>
      <w:r w:rsidR="00647AA8" w:rsidRPr="00CF19D3">
        <w:t xml:space="preserve"> dans la gamme de fréquences </w:t>
      </w:r>
      <w:r w:rsidR="00647AA8" w:rsidRPr="00CF19D3">
        <w:rPr>
          <w:rFonts w:hint="eastAsia"/>
          <w:lang w:eastAsia="ja-JP"/>
        </w:rPr>
        <w:t>275-1 000 GHz</w:t>
      </w:r>
      <w:r w:rsidR="00252545" w:rsidRPr="00CF19D3">
        <w:rPr>
          <w:lang w:eastAsia="ja-JP"/>
        </w:rPr>
        <w:t xml:space="preserve"> et respecter la norme IEEE pour la mise en œuvre de </w:t>
      </w:r>
      <w:r w:rsidR="00252545" w:rsidRPr="00CF19D3">
        <w:rPr>
          <w:color w:val="000000"/>
        </w:rPr>
        <w:t>systèmes de communication hertziens terahertz.</w:t>
      </w:r>
    </w:p>
    <w:p w:rsidR="00083864" w:rsidRPr="00252545" w:rsidRDefault="00083864" w:rsidP="00CF19D3">
      <w:pPr>
        <w:pStyle w:val="Reasons"/>
        <w:rPr>
          <w:lang w:val="fr-CH"/>
        </w:rPr>
      </w:pPr>
    </w:p>
    <w:p w:rsidR="00083864" w:rsidRDefault="00083864" w:rsidP="00CF19D3">
      <w:pPr>
        <w:jc w:val="center"/>
      </w:pPr>
      <w:r>
        <w:t>______________</w:t>
      </w:r>
    </w:p>
    <w:p w:rsidR="005E195B" w:rsidRPr="00257335" w:rsidRDefault="005E195B" w:rsidP="00CF19D3">
      <w:pPr>
        <w:pStyle w:val="Reasons"/>
        <w:rPr>
          <w:szCs w:val="24"/>
          <w:lang w:val="en-US" w:eastAsia="ja-JP"/>
        </w:rPr>
      </w:pPr>
    </w:p>
    <w:sectPr w:rsidR="005E195B" w:rsidRPr="00257335">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18A" w:rsidRDefault="0026218A">
      <w:r>
        <w:separator/>
      </w:r>
    </w:p>
  </w:endnote>
  <w:endnote w:type="continuationSeparator" w:id="0">
    <w:p w:rsidR="0026218A" w:rsidRDefault="0026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90B65">
      <w:rPr>
        <w:noProof/>
      </w:rPr>
      <w:t>01.11.15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296E8F">
    <w:pPr>
      <w:pStyle w:val="Footer"/>
      <w:rPr>
        <w:lang w:val="en-US"/>
      </w:rPr>
    </w:pPr>
    <w:r>
      <w:fldChar w:fldCharType="begin"/>
    </w:r>
    <w:r>
      <w:rPr>
        <w:lang w:val="en-US"/>
      </w:rPr>
      <w:instrText xml:space="preserve"> FILENAME \p  \* MERGEFORMAT </w:instrText>
    </w:r>
    <w:r>
      <w:fldChar w:fldCharType="separate"/>
    </w:r>
    <w:r w:rsidR="00254F26">
      <w:rPr>
        <w:lang w:val="en-US"/>
      </w:rPr>
      <w:t>P:\FRA\ITU-R\CONF-R\CMR15\100\103ADD24F.docx</w:t>
    </w:r>
    <w:r>
      <w:fldChar w:fldCharType="end"/>
    </w:r>
    <w:r w:rsidR="007B180A">
      <w:t xml:space="preserve"> (</w:t>
    </w:r>
    <w:r w:rsidR="00296E8F">
      <w:t>389493</w:t>
    </w:r>
    <w:r w:rsidR="007B180A">
      <w:t>)</w:t>
    </w:r>
    <w:r>
      <w:rPr>
        <w:lang w:val="en-US"/>
      </w:rPr>
      <w:tab/>
    </w:r>
    <w:r>
      <w:fldChar w:fldCharType="begin"/>
    </w:r>
    <w:r>
      <w:instrText xml:space="preserve"> SAVEDATE \@ DD.MM.YY </w:instrText>
    </w:r>
    <w:r>
      <w:fldChar w:fldCharType="separate"/>
    </w:r>
    <w:r w:rsidR="00290B65">
      <w:t>01.11.15</w:t>
    </w:r>
    <w:r>
      <w:fldChar w:fldCharType="end"/>
    </w:r>
    <w:r>
      <w:rPr>
        <w:lang w:val="en-US"/>
      </w:rPr>
      <w:tab/>
    </w:r>
    <w:r>
      <w:fldChar w:fldCharType="begin"/>
    </w:r>
    <w:r>
      <w:instrText xml:space="preserve"> PRINTDATE \@ DD.MM.YY </w:instrText>
    </w:r>
    <w:r>
      <w:fldChar w:fldCharType="separate"/>
    </w:r>
    <w:r w:rsidR="00254F26">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296E8F">
    <w:pPr>
      <w:pStyle w:val="Footer"/>
      <w:rPr>
        <w:lang w:val="en-US"/>
      </w:rPr>
    </w:pPr>
    <w:r>
      <w:fldChar w:fldCharType="begin"/>
    </w:r>
    <w:r>
      <w:rPr>
        <w:lang w:val="en-US"/>
      </w:rPr>
      <w:instrText xml:space="preserve"> FILENAME \p  \* MERGEFORMAT </w:instrText>
    </w:r>
    <w:r>
      <w:fldChar w:fldCharType="separate"/>
    </w:r>
    <w:r w:rsidR="00CE3456">
      <w:rPr>
        <w:lang w:val="en-US"/>
      </w:rPr>
      <w:t>P:\FRA\ITU-R\CONF-R\CMR15\100\103ADD24REV1F.docx</w:t>
    </w:r>
    <w:r>
      <w:fldChar w:fldCharType="end"/>
    </w:r>
    <w:r w:rsidR="007B180A">
      <w:t xml:space="preserve"> </w:t>
    </w:r>
    <w:r w:rsidR="00296E8F">
      <w:t>(389493)</w:t>
    </w:r>
    <w:r>
      <w:rPr>
        <w:lang w:val="en-US"/>
      </w:rPr>
      <w:tab/>
    </w:r>
    <w:r>
      <w:fldChar w:fldCharType="begin"/>
    </w:r>
    <w:r>
      <w:instrText xml:space="preserve"> SAVEDATE \@ DD.MM.YY </w:instrText>
    </w:r>
    <w:r>
      <w:fldChar w:fldCharType="separate"/>
    </w:r>
    <w:r w:rsidR="00290B65">
      <w:t>01.11.15</w:t>
    </w:r>
    <w:r>
      <w:fldChar w:fldCharType="end"/>
    </w:r>
    <w:r>
      <w:rPr>
        <w:lang w:val="en-US"/>
      </w:rPr>
      <w:tab/>
    </w:r>
    <w:r>
      <w:fldChar w:fldCharType="begin"/>
    </w:r>
    <w:r>
      <w:instrText xml:space="preserve"> PRINTDATE \@ DD.MM.YY </w:instrText>
    </w:r>
    <w:r>
      <w:fldChar w:fldCharType="separate"/>
    </w:r>
    <w:r w:rsidR="00254F26">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18A" w:rsidRDefault="0026218A">
      <w:r>
        <w:rPr>
          <w:b/>
        </w:rPr>
        <w:t>_______________</w:t>
      </w:r>
    </w:p>
  </w:footnote>
  <w:footnote w:type="continuationSeparator" w:id="0">
    <w:p w:rsidR="0026218A" w:rsidRDefault="00262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90B65">
      <w:rPr>
        <w:noProof/>
      </w:rPr>
      <w:t>4</w:t>
    </w:r>
    <w:r>
      <w:fldChar w:fldCharType="end"/>
    </w:r>
  </w:p>
  <w:p w:rsidR="004F1F8E" w:rsidRDefault="004F1F8E" w:rsidP="002C28A4">
    <w:pPr>
      <w:pStyle w:val="Header"/>
    </w:pPr>
    <w:r>
      <w:t>CMR1</w:t>
    </w:r>
    <w:r w:rsidR="002C28A4">
      <w:t>5</w:t>
    </w:r>
    <w:r>
      <w:t>/</w:t>
    </w:r>
    <w:r w:rsidR="006A4B45">
      <w:t>103(Add.24)</w:t>
    </w:r>
    <w:r w:rsidR="00CE3456">
      <w:t>(Rév.1)</w:t>
    </w:r>
    <w:r w:rsidR="006A4B45">
      <w:t>-</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6FB4DCC"/>
    <w:multiLevelType w:val="hybridMultilevel"/>
    <w:tmpl w:val="6D6AE47A"/>
    <w:lvl w:ilvl="0" w:tplc="B2B41B6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AE7CD1"/>
    <w:multiLevelType w:val="hybridMultilevel"/>
    <w:tmpl w:val="3A8EE444"/>
    <w:lvl w:ilvl="0" w:tplc="1BC8464C">
      <w:start w:val="1"/>
      <w:numFmt w:val="lowerLetter"/>
      <w:lvlText w:val="%1)"/>
      <w:lvlJc w:val="left"/>
      <w:pPr>
        <w:ind w:left="420" w:hanging="420"/>
      </w:pPr>
      <w:rPr>
        <w:rFonts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83864"/>
    <w:rsid w:val="000A4755"/>
    <w:rsid w:val="000B2E0C"/>
    <w:rsid w:val="000B3D0C"/>
    <w:rsid w:val="001105A5"/>
    <w:rsid w:val="001167B9"/>
    <w:rsid w:val="001267A0"/>
    <w:rsid w:val="0015203F"/>
    <w:rsid w:val="00160C64"/>
    <w:rsid w:val="001643A8"/>
    <w:rsid w:val="0018169B"/>
    <w:rsid w:val="0019352B"/>
    <w:rsid w:val="001960D0"/>
    <w:rsid w:val="001F17E8"/>
    <w:rsid w:val="0020425E"/>
    <w:rsid w:val="00204306"/>
    <w:rsid w:val="00232FD2"/>
    <w:rsid w:val="00244A8B"/>
    <w:rsid w:val="00252545"/>
    <w:rsid w:val="00254F26"/>
    <w:rsid w:val="00257335"/>
    <w:rsid w:val="0026218A"/>
    <w:rsid w:val="0026554E"/>
    <w:rsid w:val="00290B65"/>
    <w:rsid w:val="00296E8F"/>
    <w:rsid w:val="002A4622"/>
    <w:rsid w:val="002A6F8F"/>
    <w:rsid w:val="002B17E5"/>
    <w:rsid w:val="002C0EBF"/>
    <w:rsid w:val="002C28A4"/>
    <w:rsid w:val="00315AFE"/>
    <w:rsid w:val="003521FA"/>
    <w:rsid w:val="003606A6"/>
    <w:rsid w:val="0036650C"/>
    <w:rsid w:val="00385287"/>
    <w:rsid w:val="00393ACD"/>
    <w:rsid w:val="003A583E"/>
    <w:rsid w:val="003E112B"/>
    <w:rsid w:val="003E1D1C"/>
    <w:rsid w:val="003E7B05"/>
    <w:rsid w:val="00466211"/>
    <w:rsid w:val="00471319"/>
    <w:rsid w:val="004834A9"/>
    <w:rsid w:val="004D01FC"/>
    <w:rsid w:val="004E28C3"/>
    <w:rsid w:val="004F1F8E"/>
    <w:rsid w:val="00512A32"/>
    <w:rsid w:val="00586CF2"/>
    <w:rsid w:val="005C3768"/>
    <w:rsid w:val="005C6C3F"/>
    <w:rsid w:val="005E195B"/>
    <w:rsid w:val="00613635"/>
    <w:rsid w:val="0062093D"/>
    <w:rsid w:val="00637ECF"/>
    <w:rsid w:val="00647AA8"/>
    <w:rsid w:val="00647B59"/>
    <w:rsid w:val="00690C7B"/>
    <w:rsid w:val="006A4B45"/>
    <w:rsid w:val="006C1A23"/>
    <w:rsid w:val="006D4724"/>
    <w:rsid w:val="006F000E"/>
    <w:rsid w:val="00701BAE"/>
    <w:rsid w:val="00707E9F"/>
    <w:rsid w:val="007161EE"/>
    <w:rsid w:val="00721F04"/>
    <w:rsid w:val="00730E95"/>
    <w:rsid w:val="007426B9"/>
    <w:rsid w:val="00756D6E"/>
    <w:rsid w:val="00764342"/>
    <w:rsid w:val="00774362"/>
    <w:rsid w:val="00786598"/>
    <w:rsid w:val="007A04E8"/>
    <w:rsid w:val="007B180A"/>
    <w:rsid w:val="007B6592"/>
    <w:rsid w:val="00851625"/>
    <w:rsid w:val="00863C0A"/>
    <w:rsid w:val="00892AEC"/>
    <w:rsid w:val="008A3120"/>
    <w:rsid w:val="008D41BE"/>
    <w:rsid w:val="008D58D3"/>
    <w:rsid w:val="008F5495"/>
    <w:rsid w:val="00923064"/>
    <w:rsid w:val="00930FFD"/>
    <w:rsid w:val="00936D25"/>
    <w:rsid w:val="00941EA5"/>
    <w:rsid w:val="00945899"/>
    <w:rsid w:val="00964700"/>
    <w:rsid w:val="00966C16"/>
    <w:rsid w:val="0098732F"/>
    <w:rsid w:val="0099161C"/>
    <w:rsid w:val="009A045F"/>
    <w:rsid w:val="009A45B3"/>
    <w:rsid w:val="009C7E7C"/>
    <w:rsid w:val="00A00473"/>
    <w:rsid w:val="00A03C9B"/>
    <w:rsid w:val="00A37105"/>
    <w:rsid w:val="00A606C3"/>
    <w:rsid w:val="00A83B09"/>
    <w:rsid w:val="00A84541"/>
    <w:rsid w:val="00AE36A0"/>
    <w:rsid w:val="00B00294"/>
    <w:rsid w:val="00B64FD0"/>
    <w:rsid w:val="00BA5BD0"/>
    <w:rsid w:val="00BB1D82"/>
    <w:rsid w:val="00BF26E7"/>
    <w:rsid w:val="00C355A5"/>
    <w:rsid w:val="00C40500"/>
    <w:rsid w:val="00C53FCA"/>
    <w:rsid w:val="00C76BAF"/>
    <w:rsid w:val="00C814B9"/>
    <w:rsid w:val="00CB7EC4"/>
    <w:rsid w:val="00CD516F"/>
    <w:rsid w:val="00CE3456"/>
    <w:rsid w:val="00CF19D3"/>
    <w:rsid w:val="00D119A7"/>
    <w:rsid w:val="00D25FBA"/>
    <w:rsid w:val="00D32B28"/>
    <w:rsid w:val="00D42954"/>
    <w:rsid w:val="00D5160C"/>
    <w:rsid w:val="00D66EAC"/>
    <w:rsid w:val="00D730DF"/>
    <w:rsid w:val="00D772F0"/>
    <w:rsid w:val="00D77BDC"/>
    <w:rsid w:val="00DA7027"/>
    <w:rsid w:val="00DC402B"/>
    <w:rsid w:val="00DE0932"/>
    <w:rsid w:val="00E01A69"/>
    <w:rsid w:val="00E03A27"/>
    <w:rsid w:val="00E049F1"/>
    <w:rsid w:val="00E37A25"/>
    <w:rsid w:val="00E452DF"/>
    <w:rsid w:val="00E537FF"/>
    <w:rsid w:val="00E6539B"/>
    <w:rsid w:val="00E67F79"/>
    <w:rsid w:val="00E70A31"/>
    <w:rsid w:val="00E75EA8"/>
    <w:rsid w:val="00E82A15"/>
    <w:rsid w:val="00EA3F38"/>
    <w:rsid w:val="00EA5AB6"/>
    <w:rsid w:val="00EC7615"/>
    <w:rsid w:val="00ED16AA"/>
    <w:rsid w:val="00EF662E"/>
    <w:rsid w:val="00F148F1"/>
    <w:rsid w:val="00F24046"/>
    <w:rsid w:val="00F534E4"/>
    <w:rsid w:val="00FA3BBF"/>
    <w:rsid w:val="00FB552B"/>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AAF2C04-D249-4FD5-8534-43F70014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eadingbChar">
    <w:name w:val="Heading_b Char"/>
    <w:basedOn w:val="DefaultParagraphFont"/>
    <w:link w:val="Headingb"/>
    <w:locked/>
    <w:rsid w:val="00471319"/>
    <w:rPr>
      <w:rFonts w:ascii="Times New Roman" w:hAnsi="Times New Roman"/>
      <w:b/>
      <w:sz w:val="24"/>
      <w:lang w:val="fr-FR" w:eastAsia="en-US"/>
    </w:rPr>
  </w:style>
  <w:style w:type="paragraph" w:styleId="ListParagraph">
    <w:name w:val="List Paragraph"/>
    <w:basedOn w:val="Normal"/>
    <w:uiPriority w:val="34"/>
    <w:qFormat/>
    <w:rsid w:val="00471319"/>
    <w:pPr>
      <w:tabs>
        <w:tab w:val="clear" w:pos="1134"/>
        <w:tab w:val="clear" w:pos="1871"/>
        <w:tab w:val="clear" w:pos="2268"/>
      </w:tabs>
      <w:overflowPunct/>
      <w:autoSpaceDE/>
      <w:autoSpaceDN/>
      <w:adjustRightInd/>
      <w:spacing w:before="0"/>
      <w:ind w:leftChars="400" w:left="840"/>
      <w:textAlignment w:val="auto"/>
    </w:pPr>
    <w:rPr>
      <w:rFonts w:eastAsia="BatangChe"/>
      <w:szCs w:val="24"/>
      <w:lang w:val="en-US"/>
    </w:rPr>
  </w:style>
  <w:style w:type="character" w:customStyle="1" w:styleId="RestitleChar">
    <w:name w:val="Res_title Char"/>
    <w:basedOn w:val="DefaultParagraphFont"/>
    <w:link w:val="Restitle"/>
    <w:rsid w:val="007B180A"/>
    <w:rPr>
      <w:rFonts w:ascii="Times New Roman Bold" w:hAnsi="Times New Roman Bold"/>
      <w:b/>
      <w:sz w:val="28"/>
      <w:lang w:val="fr-FR" w:eastAsia="en-US"/>
    </w:rPr>
  </w:style>
  <w:style w:type="character" w:customStyle="1" w:styleId="CallChar">
    <w:name w:val="Call Char"/>
    <w:basedOn w:val="DefaultParagraphFont"/>
    <w:link w:val="Call"/>
    <w:uiPriority w:val="99"/>
    <w:locked/>
    <w:rsid w:val="007B180A"/>
    <w:rPr>
      <w:rFonts w:ascii="Times New Roman" w:hAnsi="Times New Roman"/>
      <w:i/>
      <w:sz w:val="24"/>
      <w:lang w:val="fr-FR" w:eastAsia="en-US"/>
    </w:rPr>
  </w:style>
  <w:style w:type="character" w:customStyle="1" w:styleId="NormalaftertitleChar">
    <w:name w:val="Normal after title Char"/>
    <w:basedOn w:val="DefaultParagraphFont"/>
    <w:link w:val="Normalaftertitle"/>
    <w:rsid w:val="007B180A"/>
    <w:rPr>
      <w:rFonts w:ascii="Times New Roman" w:hAnsi="Times New Roman"/>
      <w:sz w:val="24"/>
      <w:lang w:val="fr-FR" w:eastAsia="en-US"/>
    </w:rPr>
  </w:style>
  <w:style w:type="paragraph" w:styleId="BalloonText">
    <w:name w:val="Balloon Text"/>
    <w:basedOn w:val="Normal"/>
    <w:link w:val="BalloonTextChar"/>
    <w:semiHidden/>
    <w:unhideWhenUsed/>
    <w:rsid w:val="0094589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45899"/>
    <w:rPr>
      <w:rFonts w:ascii="Segoe UI" w:hAnsi="Segoe UI" w:cs="Segoe UI"/>
      <w:sz w:val="18"/>
      <w:szCs w:val="18"/>
      <w:lang w:val="fr-FR" w:eastAsia="en-US"/>
    </w:rPr>
  </w:style>
  <w:style w:type="character" w:styleId="Hyperlink">
    <w:name w:val="Hyperlink"/>
    <w:basedOn w:val="DefaultParagraphFont"/>
    <w:unhideWhenUsed/>
    <w:rsid w:val="00CE34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rec/R-REC-P.676/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tu.int/rec/R-REC-P.840/en"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rec/R-REC-P.83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R15-WRC15-C-0103!A24!MSW-F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176F2D17-50F9-4882-AAC6-115A594A9101}">
  <ds:schemaRefs>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AABF24-D581-4BF1-9068-D7F558B2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1772</Words>
  <Characters>10252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R15-WRC15-C-0103!A24!MSW-F</vt:lpstr>
    </vt:vector>
  </TitlesOfParts>
  <Manager>Secrétariat général - Pool</Manager>
  <Company>Union internationale des télécommunications (UIT)</Company>
  <LinksUpToDate>false</LinksUpToDate>
  <CharactersWithSpaces>12001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R15-WRC15-C-0103!A24!MSW-F</dc:title>
  <dc:subject>Conférence mondiale des radiocommunications - 2015</dc:subject>
  <dc:creator>Documents Proposals Manager (DPM)</dc:creator>
  <cp:keywords>DPM_v5.2015.10.230_prod</cp:keywords>
  <dc:description/>
  <cp:lastModifiedBy>Saxod, Nathalie</cp:lastModifiedBy>
  <cp:revision>6</cp:revision>
  <cp:lastPrinted>2003-06-05T19:34:00Z</cp:lastPrinted>
  <dcterms:created xsi:type="dcterms:W3CDTF">2015-11-01T14:41:00Z</dcterms:created>
  <dcterms:modified xsi:type="dcterms:W3CDTF">2015-11-01T14:55:00Z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