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4F7E661E" w14:textId="77777777" w:rsidTr="0050008E">
        <w:trPr>
          <w:cantSplit/>
        </w:trPr>
        <w:tc>
          <w:tcPr>
            <w:tcW w:w="6911" w:type="dxa"/>
          </w:tcPr>
          <w:p w14:paraId="58ADDBCC" w14:textId="6D472F6F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r w:rsidR="00D36B81">
              <w:rPr>
                <w:rFonts w:ascii="Verdana" w:hAnsi="Verdana"/>
                <w:b/>
                <w:bCs/>
                <w:sz w:val="20"/>
                <w:lang w:val="fr-CH"/>
              </w:rPr>
              <w:t xml:space="preserve">) 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20D61207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C27CC2" wp14:editId="5D38FE4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06111B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F2062FE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88278CC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74ACCA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6F23B27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D4298C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0AAF765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B9A18FB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01BD27C2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107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1DF3FA1A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49E1C731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5A38A0D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14:paraId="49300D87" w14:textId="77777777" w:rsidTr="00BB1D82">
        <w:trPr>
          <w:cantSplit/>
        </w:trPr>
        <w:tc>
          <w:tcPr>
            <w:tcW w:w="6911" w:type="dxa"/>
          </w:tcPr>
          <w:p w14:paraId="33CE8825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549BEF9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14:paraId="0566A748" w14:textId="77777777" w:rsidTr="00C11970">
        <w:trPr>
          <w:cantSplit/>
        </w:trPr>
        <w:tc>
          <w:tcPr>
            <w:tcW w:w="10031" w:type="dxa"/>
            <w:gridSpan w:val="2"/>
          </w:tcPr>
          <w:p w14:paraId="5383E14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013F589" w14:textId="77777777" w:rsidTr="0050008E">
        <w:trPr>
          <w:cantSplit/>
        </w:trPr>
        <w:tc>
          <w:tcPr>
            <w:tcW w:w="10031" w:type="dxa"/>
            <w:gridSpan w:val="2"/>
          </w:tcPr>
          <w:p w14:paraId="4E2C2F00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2A6F8F">
              <w:rPr>
                <w:lang w:val="en-US"/>
              </w:rPr>
              <w:t>Inde</w:t>
            </w:r>
            <w:proofErr w:type="spellEnd"/>
            <w:r w:rsidRPr="002A6F8F">
              <w:rPr>
                <w:lang w:val="en-US"/>
              </w:rPr>
              <w:t xml:space="preserve">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de l')</w:t>
            </w:r>
          </w:p>
        </w:tc>
      </w:tr>
      <w:tr w:rsidR="00690C7B" w:rsidRPr="002A6F8F" w14:paraId="0AA53801" w14:textId="77777777" w:rsidTr="0050008E">
        <w:trPr>
          <w:cantSplit/>
        </w:trPr>
        <w:tc>
          <w:tcPr>
            <w:tcW w:w="10031" w:type="dxa"/>
            <w:gridSpan w:val="2"/>
          </w:tcPr>
          <w:p w14:paraId="68BF36C6" w14:textId="77777777" w:rsidR="00690C7B" w:rsidRPr="00B913BE" w:rsidRDefault="00B913B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913BE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14:paraId="7424C207" w14:textId="77777777" w:rsidTr="0050008E">
        <w:trPr>
          <w:cantSplit/>
        </w:trPr>
        <w:tc>
          <w:tcPr>
            <w:tcW w:w="10031" w:type="dxa"/>
            <w:gridSpan w:val="2"/>
          </w:tcPr>
          <w:p w14:paraId="7F622B51" w14:textId="77777777" w:rsidR="00690C7B" w:rsidRPr="00B913B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1350CB1B" w14:textId="77777777" w:rsidTr="0050008E">
        <w:trPr>
          <w:cantSplit/>
        </w:trPr>
        <w:tc>
          <w:tcPr>
            <w:tcW w:w="10031" w:type="dxa"/>
            <w:gridSpan w:val="2"/>
          </w:tcPr>
          <w:p w14:paraId="41346D45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l'ordre du jour</w:t>
            </w:r>
          </w:p>
        </w:tc>
      </w:tr>
    </w:tbl>
    <w:bookmarkEnd w:id="5"/>
    <w:p w14:paraId="1D8C98E3" w14:textId="1D3CE72B" w:rsidR="001C0E40" w:rsidRPr="000F2DBF" w:rsidRDefault="009B3EFE" w:rsidP="00AA71E7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</w:t>
      </w:r>
      <w:r w:rsidR="00AA71E7">
        <w:rPr>
          <w:lang w:val="fr-CA"/>
        </w:rPr>
        <w:t xml:space="preserve"> </w:t>
      </w:r>
      <w:r w:rsidRPr="000F2DBF">
        <w:rPr>
          <w:lang w:val="fr-CA"/>
        </w:rPr>
        <w:t>Convention,</w:t>
      </w:r>
    </w:p>
    <w:p w14:paraId="35D1FA48" w14:textId="77777777" w:rsidR="003A583E" w:rsidRDefault="00B913BE" w:rsidP="00C91FBF">
      <w:pPr>
        <w:pStyle w:val="Headingb"/>
      </w:pPr>
      <w:r>
        <w:t>Introduction</w:t>
      </w:r>
    </w:p>
    <w:p w14:paraId="537B7060" w14:textId="1501C4D5" w:rsidR="00B913BE" w:rsidRPr="00FD1E6C" w:rsidRDefault="00DF47ED" w:rsidP="00C91FBF">
      <w:pPr>
        <w:rPr>
          <w:lang w:val="fr-CH"/>
        </w:rPr>
      </w:pPr>
      <w:r>
        <w:rPr>
          <w:lang w:val="fr-CH"/>
        </w:rPr>
        <w:t xml:space="preserve">Par le biais de la Résolution 233 (CMR-12), la CMR-15, au titre </w:t>
      </w:r>
      <w:r w:rsidR="00B913BE" w:rsidRPr="000B6EFE">
        <w:rPr>
          <w:lang w:val="fr-CH"/>
        </w:rPr>
        <w:t>du point 1.1 de l'ordre du jour</w:t>
      </w:r>
      <w:r>
        <w:rPr>
          <w:lang w:val="fr-CH"/>
        </w:rPr>
        <w:t>,</w:t>
      </w:r>
      <w:r w:rsidR="00B913BE" w:rsidRPr="000B6EFE">
        <w:rPr>
          <w:lang w:val="fr-CH"/>
        </w:rPr>
        <w:t xml:space="preserve"> </w:t>
      </w:r>
      <w:r>
        <w:rPr>
          <w:lang w:val="fr-CH"/>
        </w:rPr>
        <w:t>envisage</w:t>
      </w:r>
      <w:r w:rsidR="00B913BE" w:rsidRPr="000B6EFE">
        <w:rPr>
          <w:lang w:val="fr-CH"/>
        </w:rPr>
        <w:t xml:space="preserve"> des attributions de fréquences additionnelles au service mobile à titre primaire</w:t>
      </w:r>
      <w:r>
        <w:rPr>
          <w:lang w:val="fr-CH"/>
        </w:rPr>
        <w:t>, ainsi que l’</w:t>
      </w:r>
      <w:r w:rsidR="00B913BE" w:rsidRPr="000B6EFE">
        <w:rPr>
          <w:lang w:val="fr-CH"/>
        </w:rPr>
        <w:t>identifi</w:t>
      </w:r>
      <w:r>
        <w:rPr>
          <w:lang w:val="fr-CH"/>
        </w:rPr>
        <w:t>cation</w:t>
      </w:r>
      <w:r w:rsidR="009476D4">
        <w:rPr>
          <w:lang w:val="fr-CH"/>
        </w:rPr>
        <w:t xml:space="preserve"> de</w:t>
      </w:r>
      <w:r w:rsidR="00B913BE" w:rsidRPr="000B6EFE">
        <w:rPr>
          <w:lang w:val="fr-CH"/>
        </w:rPr>
        <w:t xml:space="preserve"> bandes de fréquences additionnelles pour les Télécommunications mobiles internationales (IMT)</w:t>
      </w:r>
      <w:r w:rsidR="00B913BE">
        <w:rPr>
          <w:lang w:val="fr-CH"/>
        </w:rPr>
        <w:t>.</w:t>
      </w:r>
      <w:r w:rsidR="00B913BE" w:rsidRPr="00B913BE">
        <w:t xml:space="preserve"> </w:t>
      </w:r>
      <w:r w:rsidRPr="00DF47ED">
        <w:rPr>
          <w:lang w:val="fr-CH"/>
        </w:rPr>
        <w:t xml:space="preserve">La conférence sera aussi l’occasion de déterminer </w:t>
      </w:r>
      <w:r>
        <w:rPr>
          <w:lang w:val="fr-CH"/>
        </w:rPr>
        <w:t>si la possibilité d’</w:t>
      </w:r>
      <w:r w:rsidRPr="00DF47ED">
        <w:rPr>
          <w:lang w:val="fr-CH"/>
        </w:rPr>
        <w:t xml:space="preserve">attributions </w:t>
      </w:r>
      <w:r>
        <w:rPr>
          <w:lang w:val="fr-CH"/>
        </w:rPr>
        <w:t>futures au</w:t>
      </w:r>
      <w:r w:rsidRPr="00DF47ED">
        <w:rPr>
          <w:lang w:val="fr-CH"/>
        </w:rPr>
        <w:t xml:space="preserve"> service mobile pourra faire l’objet d’un nouveau point de l’ordre du jour </w:t>
      </w:r>
      <w:r w:rsidR="00FD1E6C">
        <w:rPr>
          <w:lang w:val="fr-CH"/>
        </w:rPr>
        <w:t xml:space="preserve">lors </w:t>
      </w:r>
      <w:r w:rsidRPr="00DF47ED">
        <w:rPr>
          <w:lang w:val="fr-CH"/>
        </w:rPr>
        <w:t xml:space="preserve">de la prochaine CMR, en 2019. </w:t>
      </w:r>
    </w:p>
    <w:p w14:paraId="4192F302" w14:textId="77777777" w:rsidR="00B913BE" w:rsidRPr="00C91FBF" w:rsidRDefault="00B913BE" w:rsidP="00C91FBF">
      <w:pPr>
        <w:pStyle w:val="Headingb"/>
        <w:rPr>
          <w:lang w:val="fr-CH"/>
        </w:rPr>
      </w:pPr>
      <w:r w:rsidRPr="00C91FBF">
        <w:rPr>
          <w:lang w:val="fr-CH"/>
        </w:rPr>
        <w:t>Discussion</w:t>
      </w:r>
    </w:p>
    <w:p w14:paraId="3D816F4A" w14:textId="42293353" w:rsidR="00651D9F" w:rsidRPr="00651D9F" w:rsidRDefault="00651D9F" w:rsidP="00C91FBF">
      <w:pPr>
        <w:rPr>
          <w:lang w:val="fr-CH"/>
        </w:rPr>
      </w:pPr>
      <w:r w:rsidRPr="00651D9F">
        <w:rPr>
          <w:lang w:val="fr-CH"/>
        </w:rPr>
        <w:t xml:space="preserve">Parmi les travaux déjà réalisés par le Bureau des radiocommunications de l’UIT (UIT-R), qui </w:t>
      </w:r>
      <w:r w:rsidR="00C91FBF">
        <w:rPr>
          <w:lang w:val="fr-CH"/>
        </w:rPr>
        <w:t>s'occupe</w:t>
      </w:r>
      <w:r w:rsidRPr="00651D9F">
        <w:rPr>
          <w:lang w:val="fr-CH"/>
        </w:rPr>
        <w:t xml:space="preserve"> </w:t>
      </w:r>
      <w:r>
        <w:rPr>
          <w:lang w:val="fr-CH"/>
        </w:rPr>
        <w:t xml:space="preserve">de la planification du spectre, un certain nombre de documents soulignent </w:t>
      </w:r>
      <w:r w:rsidR="00C91FBF">
        <w:rPr>
          <w:lang w:val="fr-CH"/>
        </w:rPr>
        <w:t>la nécessité</w:t>
      </w:r>
      <w:r>
        <w:rPr>
          <w:lang w:val="fr-CH"/>
        </w:rPr>
        <w:t xml:space="preserve"> d’identifier des bandes de fréquences à l’horizon 2020 et au-delà. </w:t>
      </w:r>
    </w:p>
    <w:p w14:paraId="29974260" w14:textId="77777777" w:rsidR="00B913BE" w:rsidRPr="00E03F84" w:rsidRDefault="00B913BE" w:rsidP="00C91FBF">
      <w:pPr>
        <w:pStyle w:val="Headingb"/>
        <w:rPr>
          <w:lang w:val="fr-CH"/>
        </w:rPr>
      </w:pPr>
      <w:r w:rsidRPr="00E03F84">
        <w:rPr>
          <w:lang w:val="fr-CH"/>
        </w:rPr>
        <w:t>Propositions</w:t>
      </w:r>
    </w:p>
    <w:p w14:paraId="2ADA2435" w14:textId="0EA6EE8E" w:rsidR="00B913BE" w:rsidRPr="00B913BE" w:rsidRDefault="006A49F3" w:rsidP="00C91FBF">
      <w:pPr>
        <w:rPr>
          <w:lang w:val="fr-CH"/>
        </w:rPr>
      </w:pPr>
      <w:r>
        <w:rPr>
          <w:sz w:val="22"/>
          <w:szCs w:val="22"/>
        </w:rPr>
        <w:t>Considérant le fait que,</w:t>
      </w:r>
      <w:r w:rsidR="00B913BE">
        <w:rPr>
          <w:sz w:val="22"/>
          <w:szCs w:val="22"/>
        </w:rPr>
        <w:t xml:space="preserve"> </w:t>
      </w:r>
      <w:r w:rsidR="00B913BE" w:rsidRPr="00C91FBF">
        <w:t>conformément au numéro 118 de la Convention de l'UIT, le cadre général de l'ordre du jour d'une conférence mondiale des radiocommunications devrait être fixé de quatre à six ans à l'avance et que l'ordre du jour définitif est fixé par le Conseil deux ans avant la conférence</w:t>
      </w:r>
      <w:r w:rsidR="00A732CD" w:rsidRPr="00C91FBF">
        <w:t>,</w:t>
      </w:r>
      <w:r w:rsidR="00A732CD">
        <w:t xml:space="preserve"> l</w:t>
      </w:r>
      <w:r w:rsidR="00266942">
        <w:t xml:space="preserve">’Inde propose la création d’un nouveau point de l’ordre du jour pour la CMR-19, visant à identifier des bandes de fréquences à l’horizon 2020 et au-delà. </w:t>
      </w:r>
    </w:p>
    <w:p w14:paraId="0DABDC19" w14:textId="77777777" w:rsidR="00EE3F40" w:rsidRDefault="009B3EFE" w:rsidP="00C91FBF">
      <w:pPr>
        <w:pStyle w:val="Proposal"/>
      </w:pPr>
      <w:r>
        <w:lastRenderedPageBreak/>
        <w:t>SUP</w:t>
      </w:r>
      <w:r>
        <w:tab/>
        <w:t>IND/107A24/1</w:t>
      </w:r>
    </w:p>
    <w:p w14:paraId="15277291" w14:textId="77777777" w:rsidR="00DD4258" w:rsidRPr="00D9123C" w:rsidRDefault="009B3EFE" w:rsidP="00C91FBF">
      <w:pPr>
        <w:pStyle w:val="ResNo"/>
      </w:pPr>
      <w:r w:rsidRPr="00D9123C">
        <w:t xml:space="preserve">RÉSOLUTION </w:t>
      </w:r>
      <w:r w:rsidRPr="00D9123C">
        <w:rPr>
          <w:rStyle w:val="href"/>
        </w:rPr>
        <w:t>806</w:t>
      </w:r>
      <w:r w:rsidRPr="00D9123C">
        <w:t xml:space="preserve"> (CMR-07)</w:t>
      </w:r>
    </w:p>
    <w:p w14:paraId="2562E318" w14:textId="77777777" w:rsidR="00DD4258" w:rsidRPr="00654ABC" w:rsidRDefault="009B3EFE" w:rsidP="00C91FBF">
      <w:pPr>
        <w:pStyle w:val="Restitle"/>
      </w:pPr>
      <w:r w:rsidRPr="00654ABC">
        <w:t>Ordre du jour préliminaire de la Conférence mondiale</w:t>
      </w:r>
      <w:r w:rsidRPr="00654ABC">
        <w:br/>
        <w:t>des radiocommunications de 2015</w:t>
      </w:r>
    </w:p>
    <w:p w14:paraId="5DAECEF5" w14:textId="77777777" w:rsidR="00EE3F40" w:rsidRDefault="00EE3F40" w:rsidP="00C91FBF">
      <w:pPr>
        <w:pStyle w:val="Reasons"/>
      </w:pPr>
    </w:p>
    <w:p w14:paraId="16467289" w14:textId="77777777" w:rsidR="00EE3F40" w:rsidRDefault="009B3EFE" w:rsidP="00C91FBF">
      <w:pPr>
        <w:pStyle w:val="Proposal"/>
      </w:pPr>
      <w:r>
        <w:t>SUP</w:t>
      </w:r>
      <w:r>
        <w:tab/>
        <w:t>IND/107A24/2</w:t>
      </w:r>
    </w:p>
    <w:p w14:paraId="27A4A9F8" w14:textId="77777777" w:rsidR="00DD4258" w:rsidRPr="00B42483" w:rsidRDefault="009B3EFE" w:rsidP="00C91FBF">
      <w:pPr>
        <w:pStyle w:val="ResNo"/>
      </w:pPr>
      <w:r w:rsidRPr="00B42483">
        <w:t xml:space="preserve">RÉSOLUTION </w:t>
      </w:r>
      <w:r>
        <w:rPr>
          <w:rStyle w:val="href"/>
        </w:rPr>
        <w:t>807</w:t>
      </w:r>
      <w:r w:rsidRPr="00B42483">
        <w:t xml:space="preserve"> (CMR-12)</w:t>
      </w:r>
    </w:p>
    <w:p w14:paraId="73194B69" w14:textId="447D1A23" w:rsidR="00DD4258" w:rsidRPr="009C7CEE" w:rsidRDefault="009B3EFE" w:rsidP="00C91FBF">
      <w:pPr>
        <w:pStyle w:val="Restitle"/>
      </w:pPr>
      <w:r w:rsidRPr="009C7CEE">
        <w:t>Ordre du jour de la Conférence mondiale</w:t>
      </w:r>
      <w:r w:rsidR="00AA71E7">
        <w:br/>
      </w:r>
      <w:r w:rsidRPr="009C7CEE">
        <w:t xml:space="preserve"> des radiocommunications de 2015</w:t>
      </w:r>
    </w:p>
    <w:p w14:paraId="2C6EDD74" w14:textId="77777777" w:rsidR="00EE3F40" w:rsidRDefault="00EE3F40" w:rsidP="00C91FBF">
      <w:pPr>
        <w:pStyle w:val="Reasons"/>
      </w:pPr>
    </w:p>
    <w:p w14:paraId="34326A9B" w14:textId="77777777" w:rsidR="00EE3F40" w:rsidRDefault="009B3EFE" w:rsidP="00C91FBF">
      <w:pPr>
        <w:pStyle w:val="Proposal"/>
      </w:pPr>
      <w:r>
        <w:t>SUP</w:t>
      </w:r>
      <w:r>
        <w:tab/>
        <w:t>IND/107A24/3</w:t>
      </w:r>
    </w:p>
    <w:p w14:paraId="0D309062" w14:textId="77777777" w:rsidR="00DD4258" w:rsidRPr="00D9123C" w:rsidRDefault="009B3EFE" w:rsidP="00C91FBF">
      <w:pPr>
        <w:pStyle w:val="ResNo"/>
      </w:pPr>
      <w:r w:rsidRPr="00D9123C">
        <w:t xml:space="preserve">RÉSOLUTION </w:t>
      </w:r>
      <w:r>
        <w:rPr>
          <w:rStyle w:val="href"/>
        </w:rPr>
        <w:t>808</w:t>
      </w:r>
      <w:r w:rsidRPr="00D9123C">
        <w:t xml:space="preserve"> (CMR-</w:t>
      </w:r>
      <w:r>
        <w:t>12</w:t>
      </w:r>
      <w:r w:rsidRPr="00D9123C">
        <w:t>)</w:t>
      </w:r>
    </w:p>
    <w:p w14:paraId="1B1FAB70" w14:textId="77777777" w:rsidR="00DD4258" w:rsidRPr="009C7CEE" w:rsidRDefault="009B3EFE" w:rsidP="00C91FBF">
      <w:pPr>
        <w:pStyle w:val="Restitle"/>
      </w:pPr>
      <w:r w:rsidRPr="009C7CEE">
        <w:t>Ordre du jour préliminaire de la Conférence mondiale</w:t>
      </w:r>
      <w:r w:rsidRPr="009C7CEE">
        <w:br/>
        <w:t>des radiocommunications de 2018</w:t>
      </w:r>
    </w:p>
    <w:p w14:paraId="2900A521" w14:textId="77777777" w:rsidR="00EE3F40" w:rsidRDefault="00EE3F40" w:rsidP="00C91FBF">
      <w:pPr>
        <w:pStyle w:val="Reasons"/>
      </w:pPr>
    </w:p>
    <w:p w14:paraId="18CBBABB" w14:textId="77777777" w:rsidR="00EE3F40" w:rsidRDefault="009B3EFE" w:rsidP="00C91FBF">
      <w:pPr>
        <w:pStyle w:val="Proposal"/>
      </w:pPr>
      <w:r>
        <w:t>ADD</w:t>
      </w:r>
      <w:r>
        <w:tab/>
        <w:t>IND/107A24/4</w:t>
      </w:r>
    </w:p>
    <w:p w14:paraId="5AC7664F" w14:textId="4381EAEA" w:rsidR="00EE3F40" w:rsidRPr="00AA71E7" w:rsidRDefault="009B3EFE" w:rsidP="00C91FBF">
      <w:pPr>
        <w:pStyle w:val="ResNo"/>
        <w:rPr>
          <w:lang w:val="fr-CH"/>
        </w:rPr>
      </w:pPr>
      <w:r>
        <w:t xml:space="preserve">Projet de nouvelle Résolution </w:t>
      </w:r>
      <w:r w:rsidRPr="00AA71E7">
        <w:rPr>
          <w:lang w:val="fr-CH"/>
        </w:rPr>
        <w:t>[IND-A10-</w:t>
      </w:r>
      <w:r w:rsidR="003940EC" w:rsidRPr="00AA71E7">
        <w:rPr>
          <w:lang w:val="fr-CH"/>
        </w:rPr>
        <w:t>WRC</w:t>
      </w:r>
      <w:r w:rsidRPr="00AA71E7">
        <w:rPr>
          <w:lang w:val="fr-CH"/>
        </w:rPr>
        <w:t>-19_AGENDA]</w:t>
      </w:r>
      <w:r w:rsidR="00B913BE" w:rsidRPr="00AA71E7">
        <w:rPr>
          <w:lang w:val="fr-CH"/>
        </w:rPr>
        <w:t xml:space="preserve"> (CMR</w:t>
      </w:r>
      <w:r w:rsidR="00B913BE" w:rsidRPr="00AA71E7">
        <w:rPr>
          <w:lang w:val="fr-CH"/>
        </w:rPr>
        <w:noBreakHyphen/>
        <w:t>15)</w:t>
      </w:r>
    </w:p>
    <w:p w14:paraId="2EACBE64" w14:textId="6844F20F" w:rsidR="00B913BE" w:rsidRPr="00E56B03" w:rsidRDefault="00E56B03" w:rsidP="00C91FBF">
      <w:pPr>
        <w:pStyle w:val="Restitle"/>
        <w:rPr>
          <w:lang w:val="fr-CH"/>
        </w:rPr>
      </w:pPr>
      <w:r w:rsidRPr="00E56B03">
        <w:rPr>
          <w:bCs/>
          <w:szCs w:val="22"/>
          <w:lang w:val="fr-CH"/>
        </w:rPr>
        <w:t>Ordre du jour de la Conférence mondiale des radiocommunications de 2019</w:t>
      </w:r>
    </w:p>
    <w:p w14:paraId="3410C610" w14:textId="77777777" w:rsidR="001D7DCE" w:rsidRPr="0043544C" w:rsidRDefault="001D7DCE" w:rsidP="00C91FBF">
      <w:pPr>
        <w:pStyle w:val="Normalaftertitle0"/>
        <w:rPr>
          <w:lang w:val="fr-FR"/>
        </w:rPr>
      </w:pPr>
      <w:r w:rsidRPr="0043544C">
        <w:rPr>
          <w:lang w:val="fr-FR"/>
        </w:rPr>
        <w:t>La Conférence mondiale des radiocommunications (Genève, 2015),</w:t>
      </w:r>
    </w:p>
    <w:p w14:paraId="028B3573" w14:textId="77777777" w:rsidR="001D7DCE" w:rsidRPr="0043544C" w:rsidRDefault="001D7DCE" w:rsidP="00C91FBF">
      <w:pPr>
        <w:pStyle w:val="Call"/>
        <w:keepNext w:val="0"/>
        <w:keepLines w:val="0"/>
      </w:pPr>
      <w:r w:rsidRPr="0043544C">
        <w:t>considérant</w:t>
      </w:r>
    </w:p>
    <w:p w14:paraId="318E23E4" w14:textId="77777777" w:rsidR="001D7DCE" w:rsidRPr="0043544C" w:rsidRDefault="001D7DCE" w:rsidP="00C91FBF">
      <w:r w:rsidRPr="0043544C">
        <w:rPr>
          <w:i/>
          <w:iCs/>
        </w:rPr>
        <w:t>a)</w:t>
      </w:r>
      <w:r w:rsidRPr="0043544C">
        <w:tab/>
        <w:t>que, conformément au numéro 118 de la Convention de l'UIT, le cadre général de l'ordre du jour d'une conférence mondiale des radiocommunications devrait être fixé de quatre à six ans à l'avance et que l'ordre du jour définitif est fixé par le Conseil deux ans avant la conférence;</w:t>
      </w:r>
    </w:p>
    <w:p w14:paraId="3503B4A1" w14:textId="77777777" w:rsidR="001D7DCE" w:rsidRPr="0043544C" w:rsidRDefault="001D7DCE" w:rsidP="00C91FBF">
      <w:pPr>
        <w:rPr>
          <w:i/>
          <w:iCs/>
        </w:rPr>
      </w:pPr>
      <w:r w:rsidRPr="0043544C">
        <w:rPr>
          <w:i/>
          <w:iCs/>
        </w:rPr>
        <w:t>b)</w:t>
      </w:r>
      <w:r w:rsidRPr="0043544C">
        <w:rPr>
          <w:i/>
          <w:iCs/>
        </w:rPr>
        <w:tab/>
      </w:r>
      <w:r w:rsidRPr="0043544C">
        <w:t>l'article 13 de la Constitution de l'UIT, concernant la compétence et la fréquence des conférences mondiales des radiocommunications, et l'article 7 de la Convention relatif à leur ordre du jour;</w:t>
      </w:r>
    </w:p>
    <w:p w14:paraId="6A3543F3" w14:textId="77777777" w:rsidR="001D7DCE" w:rsidRPr="0043544C" w:rsidRDefault="001D7DCE" w:rsidP="00C91FBF">
      <w:r w:rsidRPr="0043544C">
        <w:rPr>
          <w:i/>
          <w:iCs/>
        </w:rPr>
        <w:t>c)</w:t>
      </w:r>
      <w:r w:rsidRPr="0043544C">
        <w:tab/>
        <w:t>les résolutions et recommandations pertinentes des conférences administratives mondiales des radiocommunications (CAMR) et des conférences mondiales des radiocommunications (CMR) précédentes,</w:t>
      </w:r>
    </w:p>
    <w:p w14:paraId="187CBBB7" w14:textId="77777777" w:rsidR="001D7DCE" w:rsidRPr="00097AE5" w:rsidRDefault="001D7DCE" w:rsidP="00847A9B">
      <w:pPr>
        <w:pStyle w:val="Call"/>
        <w:rPr>
          <w:highlight w:val="lightGray"/>
        </w:rPr>
      </w:pPr>
      <w:r w:rsidRPr="0043544C">
        <w:lastRenderedPageBreak/>
        <w:t>reconnaissant</w:t>
      </w:r>
    </w:p>
    <w:p w14:paraId="043A0751" w14:textId="0A15880C" w:rsidR="001D7DCE" w:rsidRPr="0043544C" w:rsidRDefault="001D7DCE" w:rsidP="00847A9B">
      <w:pPr>
        <w:keepNext/>
        <w:keepLines/>
      </w:pPr>
      <w:r w:rsidRPr="0043544C">
        <w:rPr>
          <w:i/>
          <w:iCs/>
        </w:rPr>
        <w:t>a)</w:t>
      </w:r>
      <w:r w:rsidRPr="0043544C">
        <w:tab/>
        <w:t>que la CMR-15 a recensé un certain nomb</w:t>
      </w:r>
      <w:r w:rsidR="003A17E5">
        <w:t>re de questions urgentes que la CMR-</w:t>
      </w:r>
      <w:r w:rsidRPr="0043544C">
        <w:t>19 devra examiner plus avant;</w:t>
      </w:r>
    </w:p>
    <w:p w14:paraId="41376BDE" w14:textId="77777777" w:rsidR="001D7DCE" w:rsidRPr="0043544C" w:rsidRDefault="001D7DCE" w:rsidP="00847A9B">
      <w:pPr>
        <w:keepNext/>
        <w:keepLines/>
      </w:pPr>
      <w:r w:rsidRPr="0043544C">
        <w:rPr>
          <w:i/>
          <w:iCs/>
        </w:rPr>
        <w:t>b)</w:t>
      </w:r>
      <w:r w:rsidRPr="0043544C">
        <w:tab/>
        <w:t>que, lors de l'élaboration du présent ordre du jour, certains points proposés par des administrations n'ont pas pu être retenus et que leur inscription a dû être reportée à l'ordre du jour de conférences futures,</w:t>
      </w:r>
    </w:p>
    <w:p w14:paraId="0631FB65" w14:textId="77777777" w:rsidR="001D7DCE" w:rsidRPr="0043544C" w:rsidRDefault="001D7DCE" w:rsidP="00847A9B">
      <w:pPr>
        <w:pStyle w:val="Call"/>
      </w:pPr>
      <w:r w:rsidRPr="0043544C">
        <w:t>décide</w:t>
      </w:r>
    </w:p>
    <w:p w14:paraId="4685F9B4" w14:textId="77777777" w:rsidR="001D7DCE" w:rsidRPr="0043544C" w:rsidRDefault="001D7DCE" w:rsidP="00C91FBF">
      <w:pPr>
        <w:keepNext/>
        <w:keepLines/>
      </w:pPr>
      <w:r w:rsidRPr="0043544C">
        <w:t>de recommander au Conseil de convoquer en 2019 une conférence mondiale des radiocommunications d'une durée maximale de quatre semaines, dont l'ordre du jour sera le suivant:</w:t>
      </w:r>
    </w:p>
    <w:p w14:paraId="1CC94815" w14:textId="77777777" w:rsidR="00EE3F40" w:rsidRDefault="001D7DCE" w:rsidP="00847A9B">
      <w:r w:rsidRPr="0043544C">
        <w:t>1</w:t>
      </w:r>
      <w:r w:rsidRPr="0043544C">
        <w:tab/>
        <w:t>sur la base des propositions des administrations, compte tenu des résultats de la CMR</w:t>
      </w:r>
      <w:r w:rsidRPr="0043544C">
        <w:noBreakHyphen/>
        <w:t>15 ainsi que du rapport de la Réunion de préparation à la Conférence et compte dûment tenu des besoins des services existants ou futurs dans les bandes considérées, examiner les points suivants et prendre les mesures appropriées:</w:t>
      </w:r>
    </w:p>
    <w:p w14:paraId="5A8E9FF8" w14:textId="77777777" w:rsidR="00847A9B" w:rsidRPr="001D7DCE" w:rsidRDefault="00847A9B" w:rsidP="00C91FBF">
      <w:pPr>
        <w:pStyle w:val="Reasons"/>
        <w:rPr>
          <w:lang w:val="fr-CH"/>
        </w:rPr>
      </w:pPr>
    </w:p>
    <w:p w14:paraId="70DF115D" w14:textId="77777777" w:rsidR="00EE3F40" w:rsidRDefault="009B3EFE" w:rsidP="00C91FBF">
      <w:pPr>
        <w:pStyle w:val="Proposal"/>
      </w:pPr>
      <w:r>
        <w:t>ADD</w:t>
      </w:r>
      <w:r>
        <w:tab/>
        <w:t>IND/107A24/5</w:t>
      </w:r>
    </w:p>
    <w:p w14:paraId="38A9FE6B" w14:textId="4001A5CD" w:rsidR="00EE3F40" w:rsidRDefault="001D7DCE" w:rsidP="00C91FBF">
      <w:pPr>
        <w:rPr>
          <w:rFonts w:eastAsia="SimSun"/>
          <w:lang w:eastAsia="zh-CN"/>
        </w:rPr>
      </w:pPr>
      <w:r w:rsidRPr="00445A8F">
        <w:rPr>
          <w:lang w:eastAsia="ko-KR"/>
        </w:rPr>
        <w:t>1.1</w:t>
      </w:r>
      <w:r w:rsidRPr="00445A8F">
        <w:rPr>
          <w:lang w:eastAsia="ko-KR"/>
        </w:rPr>
        <w:tab/>
      </w:r>
      <w:r w:rsidRPr="0043544C">
        <w:rPr>
          <w:lang w:eastAsia="ko-KR"/>
        </w:rPr>
        <w:t xml:space="preserve">envisager l'identification de bandes de fréquences pour les IMT, y compris des attributions additionnelles possibles </w:t>
      </w:r>
      <w:r w:rsidRPr="0043544C">
        <w:t>à</w:t>
      </w:r>
      <w:r w:rsidRPr="0043544C">
        <w:rPr>
          <w:lang w:eastAsia="ko-KR"/>
        </w:rPr>
        <w:t xml:space="preserve"> titre primaire au service mobile, conformément </w:t>
      </w:r>
      <w:r w:rsidRPr="0043544C">
        <w:t>à</w:t>
      </w:r>
      <w:r w:rsidRPr="0043544C">
        <w:rPr>
          <w:lang w:eastAsia="ko-KR"/>
        </w:rPr>
        <w:t xml:space="preserve"> la Résolution </w:t>
      </w:r>
      <w:r w:rsidRPr="0043544C">
        <w:rPr>
          <w:rFonts w:eastAsia="SimSun"/>
          <w:b/>
          <w:bCs/>
          <w:lang w:eastAsia="zh-CN"/>
        </w:rPr>
        <w:t>[IND</w:t>
      </w:r>
      <w:r w:rsidRPr="0043544C">
        <w:rPr>
          <w:rFonts w:eastAsia="SimSun" w:hint="eastAsia"/>
          <w:b/>
          <w:bCs/>
          <w:lang w:eastAsia="zh-CN"/>
        </w:rPr>
        <w:t>-</w:t>
      </w:r>
      <w:r w:rsidRPr="0043544C">
        <w:rPr>
          <w:rFonts w:eastAsia="SimSun"/>
          <w:b/>
          <w:bCs/>
          <w:lang w:eastAsia="zh-CN"/>
        </w:rPr>
        <w:t>B10</w:t>
      </w:r>
      <w:r w:rsidRPr="0043544C">
        <w:rPr>
          <w:rFonts w:eastAsia="SimSun" w:hint="eastAsia"/>
          <w:b/>
          <w:bCs/>
          <w:lang w:eastAsia="zh-CN"/>
        </w:rPr>
        <w:t>- IMT_ABOVE_6GHz</w:t>
      </w:r>
      <w:r w:rsidRPr="0043544C">
        <w:rPr>
          <w:rFonts w:eastAsia="SimSun"/>
          <w:b/>
          <w:bCs/>
          <w:lang w:eastAsia="zh-CN"/>
        </w:rPr>
        <w:t>] (</w:t>
      </w:r>
      <w:r w:rsidR="00336C60" w:rsidRPr="0043544C">
        <w:rPr>
          <w:rFonts w:eastAsia="SimSun"/>
          <w:b/>
          <w:bCs/>
          <w:lang w:eastAsia="zh-CN"/>
        </w:rPr>
        <w:t>CMR</w:t>
      </w:r>
      <w:r w:rsidRPr="0043544C">
        <w:rPr>
          <w:rFonts w:eastAsia="SimSun"/>
          <w:b/>
          <w:bCs/>
          <w:lang w:eastAsia="zh-CN"/>
        </w:rPr>
        <w:t>-15)</w:t>
      </w:r>
      <w:r w:rsidRPr="0043544C">
        <w:rPr>
          <w:rFonts w:eastAsia="MS Mincho" w:hint="eastAsia"/>
          <w:b/>
          <w:lang w:eastAsia="ja-JP"/>
        </w:rPr>
        <w:t xml:space="preserve"> </w:t>
      </w:r>
      <w:r w:rsidRPr="0043544C">
        <w:rPr>
          <w:rFonts w:eastAsia="MS Mincho" w:hint="eastAsia"/>
          <w:bCs/>
          <w:lang w:eastAsia="ja-JP"/>
        </w:rPr>
        <w:t>(</w:t>
      </w:r>
      <w:r w:rsidR="00336C60" w:rsidRPr="0043544C">
        <w:rPr>
          <w:rFonts w:eastAsia="MS Mincho"/>
          <w:bCs/>
          <w:lang w:eastAsia="ja-JP"/>
        </w:rPr>
        <w:t>Pièce jointe</w:t>
      </w:r>
      <w:r w:rsidRPr="0043544C">
        <w:rPr>
          <w:rFonts w:eastAsia="MS Mincho" w:hint="eastAsia"/>
          <w:bCs/>
          <w:lang w:eastAsia="ja-JP"/>
        </w:rPr>
        <w:t xml:space="preserve"> 1)</w:t>
      </w:r>
      <w:r w:rsidRPr="0043544C">
        <w:rPr>
          <w:rFonts w:eastAsia="SimSun"/>
          <w:lang w:eastAsia="zh-CN"/>
        </w:rPr>
        <w:t>;</w:t>
      </w:r>
    </w:p>
    <w:p w14:paraId="2C9BC848" w14:textId="77777777" w:rsidR="00847A9B" w:rsidRPr="0043544C" w:rsidRDefault="00847A9B" w:rsidP="00847A9B">
      <w:pPr>
        <w:pStyle w:val="Reasons"/>
        <w:rPr>
          <w:lang w:val="fr-CH"/>
        </w:rPr>
      </w:pPr>
    </w:p>
    <w:p w14:paraId="6C921C6B" w14:textId="77777777" w:rsidR="00EE3F40" w:rsidRPr="0043544C" w:rsidRDefault="009B3EFE" w:rsidP="00C91FBF">
      <w:pPr>
        <w:pStyle w:val="Proposal"/>
        <w:rPr>
          <w:lang w:val="fr-CH"/>
        </w:rPr>
      </w:pPr>
      <w:r w:rsidRPr="0043544C">
        <w:rPr>
          <w:lang w:val="fr-CH"/>
        </w:rPr>
        <w:t>ADD</w:t>
      </w:r>
      <w:r w:rsidRPr="0043544C">
        <w:rPr>
          <w:lang w:val="fr-CH"/>
        </w:rPr>
        <w:tab/>
        <w:t>IND/107A24/6</w:t>
      </w:r>
    </w:p>
    <w:p w14:paraId="3C593500" w14:textId="443FB754" w:rsidR="00EE3F40" w:rsidRPr="007C3489" w:rsidRDefault="00C71101" w:rsidP="00C91FBF">
      <w:pPr>
        <w:rPr>
          <w:lang w:val="fr-CH"/>
        </w:rPr>
      </w:pPr>
      <w:r w:rsidRPr="0043544C">
        <w:rPr>
          <w:lang w:val="fr-CH"/>
        </w:rPr>
        <w:t>1.2</w:t>
      </w:r>
      <w:r w:rsidRPr="0043544C">
        <w:rPr>
          <w:lang w:val="fr-CH"/>
        </w:rPr>
        <w:tab/>
      </w:r>
      <w:r w:rsidR="007C3489" w:rsidRPr="0043544C">
        <w:rPr>
          <w:lang w:eastAsia="ko-KR"/>
        </w:rPr>
        <w:t xml:space="preserve">envisager l'identification de bandes de fréquences pour les applications ISM, y compris des attributions additionnelles possibles </w:t>
      </w:r>
      <w:r w:rsidR="007C3489" w:rsidRPr="0043544C">
        <w:t>à</w:t>
      </w:r>
      <w:r w:rsidR="007C3489" w:rsidRPr="0043544C">
        <w:rPr>
          <w:lang w:eastAsia="ko-KR"/>
        </w:rPr>
        <w:t xml:space="preserve"> titre primaire à ces applications au voisinage de 60 GHz et </w:t>
      </w:r>
      <w:r w:rsidR="007C3489" w:rsidRPr="0043544C">
        <w:rPr>
          <w:lang w:val="fr-CH"/>
        </w:rPr>
        <w:t>dans des bandes de fréquences supérieures</w:t>
      </w:r>
      <w:r w:rsidRPr="0043544C">
        <w:rPr>
          <w:lang w:val="fr-CH"/>
        </w:rPr>
        <w:t>;</w:t>
      </w:r>
    </w:p>
    <w:p w14:paraId="7EEC4A51" w14:textId="680D2B84" w:rsidR="00AA487C" w:rsidRDefault="00C71101" w:rsidP="00FA5BCC">
      <w:pPr>
        <w:pStyle w:val="Reasons"/>
        <w:rPr>
          <w:color w:val="000000"/>
        </w:rPr>
      </w:pPr>
      <w:r w:rsidRPr="00AA487C">
        <w:rPr>
          <w:b/>
          <w:lang w:val="fr-CH"/>
        </w:rPr>
        <w:t>Motifs:</w:t>
      </w:r>
      <w:r w:rsidRPr="00AA487C">
        <w:rPr>
          <w:lang w:val="fr-CH"/>
        </w:rPr>
        <w:tab/>
      </w:r>
      <w:r w:rsidR="00AA487C" w:rsidRPr="00AA487C">
        <w:rPr>
          <w:lang w:val="fr-CH"/>
        </w:rPr>
        <w:t xml:space="preserve">Les exigences </w:t>
      </w:r>
      <w:r w:rsidR="00CC33E2">
        <w:rPr>
          <w:lang w:val="fr-CH"/>
        </w:rPr>
        <w:t>des particuliers</w:t>
      </w:r>
      <w:r w:rsidR="00AA487C">
        <w:rPr>
          <w:lang w:val="fr-CH"/>
        </w:rPr>
        <w:t xml:space="preserve"> </w:t>
      </w:r>
      <w:r w:rsidR="00AA487C" w:rsidRPr="00AA487C">
        <w:rPr>
          <w:lang w:val="fr-CH"/>
        </w:rPr>
        <w:t>en matière d’applications</w:t>
      </w:r>
      <w:r w:rsidR="00CC33E2">
        <w:rPr>
          <w:lang w:val="fr-CH"/>
        </w:rPr>
        <w:t xml:space="preserve"> de données,</w:t>
      </w:r>
      <w:r w:rsidR="00AA487C" w:rsidRPr="00AA487C">
        <w:rPr>
          <w:lang w:val="fr-CH"/>
        </w:rPr>
        <w:t xml:space="preserve"> à courte portée</w:t>
      </w:r>
      <w:r w:rsidR="00AA487C">
        <w:rPr>
          <w:lang w:val="fr-CH"/>
        </w:rPr>
        <w:t xml:space="preserve"> et à haut débit</w:t>
      </w:r>
      <w:r w:rsidR="00CC33E2">
        <w:rPr>
          <w:lang w:val="fr-CH"/>
        </w:rPr>
        <w:t>,</w:t>
      </w:r>
      <w:r w:rsidR="00AA487C">
        <w:rPr>
          <w:lang w:val="fr-CH"/>
        </w:rPr>
        <w:t xml:space="preserve"> à des fins diverses, par exemple pour les réseaux informatiques sans fil, les </w:t>
      </w:r>
      <w:r w:rsidR="00AA487C">
        <w:rPr>
          <w:color w:val="000000"/>
        </w:rPr>
        <w:t>communications en champ proche, les communications de machine à machine, etc., augmentent de manière exponentielle.</w:t>
      </w:r>
      <w:r w:rsidR="001559F4">
        <w:rPr>
          <w:color w:val="000000"/>
        </w:rPr>
        <w:t xml:space="preserve"> Par conséquent, d</w:t>
      </w:r>
      <w:r w:rsidR="00AA487C">
        <w:rPr>
          <w:color w:val="000000"/>
        </w:rPr>
        <w:t xml:space="preserve">es attributions </w:t>
      </w:r>
      <w:r w:rsidR="001559F4">
        <w:rPr>
          <w:color w:val="000000"/>
        </w:rPr>
        <w:t xml:space="preserve">sont nécessaires </w:t>
      </w:r>
      <w:r w:rsidR="00AA487C">
        <w:rPr>
          <w:color w:val="000000"/>
        </w:rPr>
        <w:t xml:space="preserve">dans des bandes de fréquences supérieures, au voisinage de 60 GHz et </w:t>
      </w:r>
      <w:r w:rsidR="00B53FBA">
        <w:rPr>
          <w:color w:val="000000"/>
        </w:rPr>
        <w:t>au-delà</w:t>
      </w:r>
      <w:r w:rsidR="001559F4">
        <w:rPr>
          <w:color w:val="000000"/>
        </w:rPr>
        <w:t xml:space="preserve">. Certains pays ont déjà autorisé de telles </w:t>
      </w:r>
      <w:r w:rsidR="00FA5BCC">
        <w:rPr>
          <w:color w:val="000000"/>
        </w:rPr>
        <w:t>attributions</w:t>
      </w:r>
      <w:r w:rsidR="001559F4">
        <w:rPr>
          <w:color w:val="000000"/>
        </w:rPr>
        <w:t xml:space="preserve">. </w:t>
      </w:r>
      <w:r w:rsidR="00531611">
        <w:rPr>
          <w:color w:val="000000"/>
        </w:rPr>
        <w:t xml:space="preserve">Une attribution à l’échelle mondiale </w:t>
      </w:r>
      <w:r w:rsidR="00FA5BCC">
        <w:rPr>
          <w:color w:val="000000"/>
        </w:rPr>
        <w:t>faciliterait</w:t>
      </w:r>
      <w:r w:rsidR="00531611">
        <w:rPr>
          <w:color w:val="000000"/>
        </w:rPr>
        <w:t xml:space="preserve"> le développement de ces applications et </w:t>
      </w:r>
      <w:r w:rsidR="00FA5BCC">
        <w:rPr>
          <w:color w:val="000000"/>
        </w:rPr>
        <w:t xml:space="preserve">permettrait </w:t>
      </w:r>
      <w:r w:rsidR="00531611">
        <w:rPr>
          <w:color w:val="000000"/>
        </w:rPr>
        <w:t>de réaliser des économies d’échelle.</w:t>
      </w:r>
    </w:p>
    <w:p w14:paraId="27FF3F14" w14:textId="30DCBA45" w:rsidR="007C7476" w:rsidRDefault="007C7476" w:rsidP="007C7476"/>
    <w:p w14:paraId="1DFA95A5" w14:textId="77777777" w:rsidR="003E7DD6" w:rsidRPr="0043544C" w:rsidRDefault="003E7DD6" w:rsidP="00C91FBF">
      <w:r w:rsidRPr="0043544C">
        <w:t>3</w:t>
      </w:r>
      <w:r w:rsidRPr="0043544C">
        <w:tab/>
        <w:t>examiner les modifications et amendements à apporter éventuellement au Règlement des radiocommunications à la suite des décisions prises par la Conférence;</w:t>
      </w:r>
    </w:p>
    <w:p w14:paraId="314BA08D" w14:textId="77777777" w:rsidR="003E7DD6" w:rsidRPr="0043544C" w:rsidRDefault="003E7DD6" w:rsidP="00C91FBF">
      <w:r w:rsidRPr="0043544C">
        <w:t>4</w:t>
      </w:r>
      <w:r w:rsidRPr="0043544C">
        <w:tab/>
        <w:t xml:space="preserve">conformément à la Résolution </w:t>
      </w:r>
      <w:r w:rsidRPr="0043544C">
        <w:rPr>
          <w:b/>
          <w:bCs/>
        </w:rPr>
        <w:t>95 (Rév.CMR-07)</w:t>
      </w:r>
      <w:r w:rsidRPr="0043544C">
        <w:t>, examiner les résolutions et recommandations des conférences précédentes en vue, le cas échéant, de les réviser, de les remplacer ou de les supprimer;</w:t>
      </w:r>
    </w:p>
    <w:p w14:paraId="3D5B113F" w14:textId="77777777" w:rsidR="003E7DD6" w:rsidRPr="0043544C" w:rsidRDefault="003E7DD6" w:rsidP="00C91FBF">
      <w:r w:rsidRPr="0043544C">
        <w:t>5</w:t>
      </w:r>
      <w:r w:rsidRPr="0043544C">
        <w:tab/>
        <w:t>examiner le Rapport de l'Assemblée des radiocommunications soumis conformément aux numéros 135 et 136 de la Convention et lui donner la suite voulue;</w:t>
      </w:r>
    </w:p>
    <w:p w14:paraId="69B1776C" w14:textId="77777777" w:rsidR="003E7DD6" w:rsidRPr="0043544C" w:rsidRDefault="003E7DD6" w:rsidP="00C91FBF">
      <w:r w:rsidRPr="0043544C">
        <w:t>6</w:t>
      </w:r>
      <w:r w:rsidRPr="0043544C">
        <w:tab/>
        <w:t>identifier les points auxquels les commissions d'études des radiocommunications doivent d'urgence donner suite, en préparation de la conférence mondiale des radiocommunications suivante;</w:t>
      </w:r>
    </w:p>
    <w:p w14:paraId="583F6CC2" w14:textId="3F9F4DB5" w:rsidR="003E7DD6" w:rsidRPr="00F814B8" w:rsidRDefault="003E7DD6" w:rsidP="00C91FBF">
      <w:pPr>
        <w:keepLines/>
        <w:rPr>
          <w:highlight w:val="lightGray"/>
        </w:rPr>
      </w:pPr>
      <w:r w:rsidRPr="0043544C">
        <w:lastRenderedPageBreak/>
        <w:t>7</w:t>
      </w:r>
      <w:r w:rsidRPr="0043544C">
        <w:tab/>
        <w:t xml:space="preserve">examiner d'éventuels changements à apporter, et d'autres options à mettre en </w:t>
      </w:r>
      <w:r w:rsidR="00D36B81" w:rsidRPr="0043544C">
        <w:t>œuvre</w:t>
      </w:r>
      <w:r w:rsidRPr="0043544C">
        <w:t>, en application de la Résolution 86 (</w:t>
      </w:r>
      <w:proofErr w:type="spellStart"/>
      <w:r w:rsidRPr="0043544C">
        <w:t>Rév</w:t>
      </w:r>
      <w:proofErr w:type="spellEnd"/>
      <w:r w:rsidRPr="0043544C">
        <w:t>. 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43544C">
        <w:rPr>
          <w:b/>
          <w:bCs/>
        </w:rPr>
        <w:t>86 (Rév.CMR-07)</w:t>
      </w:r>
      <w:r w:rsidRPr="0043544C">
        <w:t>, afin de faciliter l'utilisation rationnelle, efficace et économique des fréquences radioélectriques et des orbites associées, y compris de l'orbite des satellites géostationnaires;</w:t>
      </w:r>
    </w:p>
    <w:p w14:paraId="143C385A" w14:textId="77777777" w:rsidR="003E7DD6" w:rsidRPr="0043544C" w:rsidRDefault="003E7DD6" w:rsidP="00C91FBF">
      <w:r w:rsidRPr="0043544C">
        <w:t>8</w:t>
      </w:r>
      <w:r w:rsidRPr="0043544C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43544C">
        <w:rPr>
          <w:b/>
          <w:bCs/>
        </w:rPr>
        <w:t>26 (Rév.CMR-07)</w:t>
      </w:r>
      <w:r w:rsidRPr="0043544C">
        <w:t>, et prendre les mesures voulues à ce sujet;</w:t>
      </w:r>
    </w:p>
    <w:p w14:paraId="654AA16C" w14:textId="77777777" w:rsidR="003E7DD6" w:rsidRPr="0043544C" w:rsidRDefault="003E7DD6" w:rsidP="00C91FBF">
      <w:r w:rsidRPr="0043544C">
        <w:t>9</w:t>
      </w:r>
      <w:r w:rsidRPr="0043544C">
        <w:tab/>
        <w:t>examiner et approuver le rapport du Directeur du Bureau des radiocommunications, conformément à l'article 7 de la Convention:</w:t>
      </w:r>
    </w:p>
    <w:p w14:paraId="7B1F8612" w14:textId="77777777" w:rsidR="003E7DD6" w:rsidRPr="0043544C" w:rsidRDefault="003E7DD6" w:rsidP="00C91FBF">
      <w:r w:rsidRPr="0043544C">
        <w:t>9.1</w:t>
      </w:r>
      <w:r w:rsidRPr="0043544C">
        <w:tab/>
        <w:t>sur les activités du Secteur des radiocommunications depuis la CMR-15;</w:t>
      </w:r>
    </w:p>
    <w:p w14:paraId="03675894" w14:textId="77777777" w:rsidR="003E7DD6" w:rsidRPr="0043544C" w:rsidRDefault="003E7DD6" w:rsidP="00C91FBF">
      <w:r w:rsidRPr="0043544C">
        <w:t>9.2</w:t>
      </w:r>
      <w:r w:rsidRPr="0043544C">
        <w:tab/>
        <w:t>sur les difficultés rencontrées ou les incohérences constatées dans l'application du Règlement des radiocommunications; et</w:t>
      </w:r>
    </w:p>
    <w:p w14:paraId="2EBDD8F1" w14:textId="77777777" w:rsidR="003E7DD6" w:rsidRPr="0043544C" w:rsidRDefault="003E7DD6" w:rsidP="00C91FBF">
      <w:pPr>
        <w:rPr>
          <w:i/>
          <w:iCs/>
        </w:rPr>
      </w:pPr>
      <w:r w:rsidRPr="0043544C">
        <w:t>9.3</w:t>
      </w:r>
      <w:r w:rsidRPr="0043544C">
        <w:tab/>
        <w:t>sur la suite donnée à la Résolution </w:t>
      </w:r>
      <w:r w:rsidRPr="0043544C">
        <w:rPr>
          <w:b/>
          <w:bCs/>
        </w:rPr>
        <w:t>80 (Rév.CMR-07)</w:t>
      </w:r>
      <w:r w:rsidRPr="0043544C">
        <w:t>;</w:t>
      </w:r>
    </w:p>
    <w:p w14:paraId="443871B6" w14:textId="77777777" w:rsidR="003E7DD6" w:rsidRDefault="003E7DD6" w:rsidP="00C91FBF">
      <w:r w:rsidRPr="0043544C">
        <w:t>10</w:t>
      </w:r>
      <w:r w:rsidRPr="0043544C"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14:paraId="446F3CFE" w14:textId="77777777" w:rsidR="003E7DD6" w:rsidRPr="0043544C" w:rsidRDefault="003E7DD6" w:rsidP="00C91FBF">
      <w:pPr>
        <w:pStyle w:val="Call"/>
      </w:pPr>
      <w:r w:rsidRPr="0043544C">
        <w:t>décide en outre</w:t>
      </w:r>
    </w:p>
    <w:p w14:paraId="7A83A8FF" w14:textId="77777777" w:rsidR="003E7DD6" w:rsidRPr="0043544C" w:rsidRDefault="003E7DD6" w:rsidP="00C91FBF">
      <w:r w:rsidRPr="0043544C">
        <w:t>d'activer la Réunion de préparation à la Conférence,</w:t>
      </w:r>
    </w:p>
    <w:p w14:paraId="27F73ED7" w14:textId="77777777" w:rsidR="003E7DD6" w:rsidRPr="0043544C" w:rsidRDefault="003E7DD6" w:rsidP="00C91FBF">
      <w:pPr>
        <w:pStyle w:val="Call"/>
      </w:pPr>
      <w:r w:rsidRPr="0043544C">
        <w:t>invite le Conseil</w:t>
      </w:r>
    </w:p>
    <w:p w14:paraId="53328FDA" w14:textId="77777777" w:rsidR="003E7DD6" w:rsidRPr="0043544C" w:rsidRDefault="003E7DD6" w:rsidP="00C91FBF">
      <w:r w:rsidRPr="0043544C">
        <w:t xml:space="preserve">à arrêter définitivement l'ordre du jour, à prendre les dispositions nécessaires en vue de la convocation de la CMR-19 et à engager dès que possible les consultations nécessaires avec les </w:t>
      </w:r>
      <w:proofErr w:type="spellStart"/>
      <w:r w:rsidRPr="0043544C">
        <w:t>Etats</w:t>
      </w:r>
      <w:proofErr w:type="spellEnd"/>
      <w:r w:rsidRPr="0043544C">
        <w:t xml:space="preserve"> Membres,</w:t>
      </w:r>
    </w:p>
    <w:p w14:paraId="55C57E8D" w14:textId="77777777" w:rsidR="003E7DD6" w:rsidRPr="0043544C" w:rsidRDefault="003E7DD6" w:rsidP="00C91FBF">
      <w:pPr>
        <w:pStyle w:val="Call"/>
      </w:pPr>
      <w:r w:rsidRPr="0043544C">
        <w:t>charge le Directeur du Bureau des radiocommunications</w:t>
      </w:r>
    </w:p>
    <w:p w14:paraId="1494D7B1" w14:textId="77777777" w:rsidR="003E7DD6" w:rsidRPr="0043544C" w:rsidRDefault="003E7DD6" w:rsidP="00C91FBF">
      <w:r w:rsidRPr="0043544C">
        <w:t>de prendre les dispositions voulues pour la convocation des sessions de la Réunion de préparation à la Conférence et d'élaborer un Rapport à l'intention de la CMR-19,</w:t>
      </w:r>
    </w:p>
    <w:p w14:paraId="2D236D6E" w14:textId="77777777" w:rsidR="003E7DD6" w:rsidRPr="0043544C" w:rsidRDefault="003E7DD6" w:rsidP="00C91FBF">
      <w:pPr>
        <w:pStyle w:val="Call"/>
      </w:pPr>
      <w:r w:rsidRPr="0043544C">
        <w:t>charge le Secrétaire général</w:t>
      </w:r>
    </w:p>
    <w:p w14:paraId="4329DD6B" w14:textId="77777777" w:rsidR="003E7DD6" w:rsidRDefault="003E7DD6" w:rsidP="00C91FBF">
      <w:pPr>
        <w:pStyle w:val="Reasons"/>
      </w:pPr>
      <w:r w:rsidRPr="0043544C">
        <w:t>de communiquer la présente Résolution aux organisations internationales ou régionales concernées.</w:t>
      </w:r>
    </w:p>
    <w:p w14:paraId="1B068E31" w14:textId="6589A64B" w:rsidR="00F814B8" w:rsidRDefault="00F814B8" w:rsidP="00C91F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47F372F" w14:textId="2F74E9A8" w:rsidR="00851B88" w:rsidRPr="00F814B8" w:rsidRDefault="00851B88" w:rsidP="00847A9B">
      <w:pPr>
        <w:pStyle w:val="AnnexNo"/>
        <w:rPr>
          <w:lang w:val="en-US"/>
        </w:rPr>
      </w:pPr>
      <w:r w:rsidRPr="00F814B8">
        <w:rPr>
          <w:lang w:val="en-US"/>
        </w:rPr>
        <w:lastRenderedPageBreak/>
        <w:t>PIECE JOINTE 1</w:t>
      </w:r>
    </w:p>
    <w:p w14:paraId="38201E26" w14:textId="77777777" w:rsidR="00EE3F40" w:rsidRPr="00F814B8" w:rsidRDefault="009B3EFE" w:rsidP="00C91FBF">
      <w:pPr>
        <w:pStyle w:val="Proposal"/>
        <w:rPr>
          <w:lang w:val="en-US"/>
        </w:rPr>
      </w:pPr>
      <w:r w:rsidRPr="00F814B8">
        <w:rPr>
          <w:lang w:val="en-US"/>
        </w:rPr>
        <w:t>ADD</w:t>
      </w:r>
      <w:r w:rsidRPr="00F814B8">
        <w:rPr>
          <w:lang w:val="en-US"/>
        </w:rPr>
        <w:tab/>
        <w:t>IND/107A24/7</w:t>
      </w:r>
    </w:p>
    <w:p w14:paraId="43316E32" w14:textId="55AFA4E9" w:rsidR="003E7DD6" w:rsidRPr="00445A8F" w:rsidRDefault="003E7DD6" w:rsidP="00C91FBF">
      <w:pPr>
        <w:pStyle w:val="ResNo"/>
      </w:pPr>
      <w:r w:rsidRPr="00445A8F">
        <w:t>Projet de nouvelle Résolution [</w:t>
      </w:r>
      <w:r>
        <w:t>IND</w:t>
      </w:r>
      <w:r w:rsidRPr="00445A8F">
        <w:t>-B10-IMT</w:t>
      </w:r>
      <w:r w:rsidR="000473D5">
        <w:t>_</w:t>
      </w:r>
      <w:r w:rsidRPr="00445A8F">
        <w:t>ABOVE</w:t>
      </w:r>
      <w:r w:rsidR="000473D5">
        <w:t>_</w:t>
      </w:r>
      <w:r w:rsidRPr="00445A8F">
        <w:t>6</w:t>
      </w:r>
      <w:r w:rsidR="000473D5">
        <w:t>_</w:t>
      </w:r>
      <w:r w:rsidRPr="00445A8F">
        <w:t xml:space="preserve">GHZ] </w:t>
      </w:r>
    </w:p>
    <w:p w14:paraId="5A5D5E90" w14:textId="77777777" w:rsidR="003E7DD6" w:rsidRPr="00445A8F" w:rsidRDefault="003E7DD6" w:rsidP="00C91FBF">
      <w:pPr>
        <w:pStyle w:val="Restitle"/>
        <w:rPr>
          <w:bCs/>
          <w:szCs w:val="28"/>
          <w:lang w:eastAsia="ja-JP"/>
        </w:rPr>
      </w:pPr>
      <w:proofErr w:type="spellStart"/>
      <w:r w:rsidRPr="00445A8F">
        <w:t>Etudes</w:t>
      </w:r>
      <w:proofErr w:type="spellEnd"/>
      <w:r w:rsidRPr="00445A8F">
        <w:t xml:space="preserve"> sur les questions liées aux fréquences </w:t>
      </w:r>
      <w:r w:rsidRPr="00445A8F">
        <w:rPr>
          <w:lang w:eastAsia="ko-KR"/>
        </w:rPr>
        <w:t>en vue de l'identification de bandes de fréquences pour les IMT, y compris des attributions additionnelles possibles</w:t>
      </w:r>
      <w:r w:rsidRPr="00445A8F">
        <w:rPr>
          <w:lang w:eastAsia="ko-KR"/>
        </w:rPr>
        <w:br/>
      </w:r>
      <w:r w:rsidRPr="00445A8F">
        <w:t>à</w:t>
      </w:r>
      <w:r w:rsidRPr="00445A8F">
        <w:rPr>
          <w:lang w:eastAsia="ko-KR"/>
        </w:rPr>
        <w:t xml:space="preserve"> titre primaire au service mobile </w:t>
      </w:r>
      <w:r w:rsidRPr="00445A8F">
        <w:rPr>
          <w:color w:val="000000"/>
        </w:rPr>
        <w:t>dans une ou des parties de la</w:t>
      </w:r>
      <w:r w:rsidRPr="00445A8F">
        <w:rPr>
          <w:bCs/>
          <w:szCs w:val="28"/>
          <w:lang w:eastAsia="ja-JP"/>
        </w:rPr>
        <w:t xml:space="preserve"> gamme de fréquences comprise entre 25,25 et 86 GHz </w:t>
      </w:r>
      <w:r w:rsidRPr="00445A8F">
        <w:rPr>
          <w:color w:val="000000"/>
        </w:rPr>
        <w:t>pour le développement futur</w:t>
      </w:r>
      <w:r w:rsidRPr="00445A8F">
        <w:rPr>
          <w:color w:val="000000"/>
        </w:rPr>
        <w:br/>
        <w:t>des</w:t>
      </w:r>
      <w:r w:rsidRPr="00445A8F">
        <w:rPr>
          <w:bCs/>
          <w:szCs w:val="28"/>
          <w:lang w:eastAsia="ja-JP"/>
        </w:rPr>
        <w:t xml:space="preserve"> IMT à l'horizon 2020 et au-delà</w:t>
      </w:r>
    </w:p>
    <w:p w14:paraId="4B019174" w14:textId="77777777" w:rsidR="003E7DD6" w:rsidRPr="0043544C" w:rsidRDefault="003E7DD6" w:rsidP="00C91FBF">
      <w:pPr>
        <w:pStyle w:val="Normalaftertitle"/>
        <w:rPr>
          <w:szCs w:val="24"/>
          <w:lang w:eastAsia="nl-NL"/>
        </w:rPr>
      </w:pPr>
      <w:r w:rsidRPr="0043544C">
        <w:rPr>
          <w:szCs w:val="24"/>
          <w:lang w:eastAsia="nl-NL"/>
        </w:rPr>
        <w:t>La Conférence mondiale des radiocommunications (Genève, 2015),</w:t>
      </w:r>
    </w:p>
    <w:p w14:paraId="1635F280" w14:textId="77777777" w:rsidR="003E7DD6" w:rsidRPr="0043544C" w:rsidRDefault="003E7DD6" w:rsidP="00C91FBF">
      <w:pPr>
        <w:pStyle w:val="Call"/>
      </w:pPr>
      <w:r w:rsidRPr="0043544C">
        <w:t>considérant</w:t>
      </w:r>
    </w:p>
    <w:p w14:paraId="2EA4C66F" w14:textId="77777777" w:rsidR="003E7DD6" w:rsidRPr="0043544C" w:rsidRDefault="003E7DD6" w:rsidP="00C91FBF">
      <w:r w:rsidRPr="0043544C">
        <w:rPr>
          <w:i/>
        </w:rPr>
        <w:t>a)</w:t>
      </w:r>
      <w:r w:rsidRPr="0043544C">
        <w:rPr>
          <w:i/>
        </w:rPr>
        <w:tab/>
      </w:r>
      <w:r w:rsidRPr="0043544C">
        <w:t xml:space="preserve">que les systèmes de Télécommunications mobiles internationales (IMT) ont </w:t>
      </w:r>
      <w:r w:rsidRPr="0043544C">
        <w:rPr>
          <w:color w:val="000000"/>
        </w:rPr>
        <w:t xml:space="preserve">contribué au développement socio-économique mondial et ont </w:t>
      </w:r>
      <w:r w:rsidRPr="0043544C">
        <w:t>constitué le principal mode de fourniture d'applications mobiles à large bande;</w:t>
      </w:r>
    </w:p>
    <w:p w14:paraId="025D5111" w14:textId="3A7B7F1D" w:rsidR="003E7DD6" w:rsidRPr="0043544C" w:rsidRDefault="003E7DD6" w:rsidP="00C91FBF">
      <w:pPr>
        <w:rPr>
          <w:lang w:eastAsia="ko-KR"/>
        </w:rPr>
      </w:pPr>
      <w:r w:rsidRPr="0043544C">
        <w:rPr>
          <w:i/>
          <w:iCs/>
          <w:lang w:eastAsia="ko-KR"/>
        </w:rPr>
        <w:t>b</w:t>
      </w:r>
      <w:r w:rsidRPr="0043544C">
        <w:rPr>
          <w:i/>
          <w:iCs/>
        </w:rPr>
        <w:t>)</w:t>
      </w:r>
      <w:r w:rsidRPr="0043544C">
        <w:tab/>
        <w:t>que les systèmes IMT évoluent actuellement pour fournir divers scénarios d'utilisation et diverses applications, par exemple le large bande mobile évolué, les communications massives</w:t>
      </w:r>
      <w:r w:rsidRPr="0043544C">
        <w:rPr>
          <w:color w:val="000000"/>
        </w:rPr>
        <w:t xml:space="preserve"> de type machine</w:t>
      </w:r>
      <w:r w:rsidRPr="0043544C">
        <w:rPr>
          <w:lang w:eastAsia="ko-KR"/>
        </w:rPr>
        <w:t xml:space="preserve"> et </w:t>
      </w:r>
      <w:r w:rsidR="00D36B81" w:rsidRPr="0043544C">
        <w:rPr>
          <w:lang w:eastAsia="ko-KR"/>
        </w:rPr>
        <w:t>les communications</w:t>
      </w:r>
      <w:r w:rsidRPr="0043544C">
        <w:rPr>
          <w:lang w:eastAsia="ko-KR"/>
        </w:rPr>
        <w:t xml:space="preserve"> </w:t>
      </w:r>
      <w:proofErr w:type="spellStart"/>
      <w:r w:rsidRPr="0043544C">
        <w:rPr>
          <w:lang w:eastAsia="ko-KR"/>
        </w:rPr>
        <w:t>ultrafiables</w:t>
      </w:r>
      <w:proofErr w:type="spellEnd"/>
      <w:r w:rsidRPr="0043544C">
        <w:rPr>
          <w:lang w:eastAsia="ko-KR"/>
        </w:rPr>
        <w:t xml:space="preserve"> présentant un faible temps de latence;</w:t>
      </w:r>
    </w:p>
    <w:p w14:paraId="50FBAA41" w14:textId="77777777" w:rsidR="003E7DD6" w:rsidRPr="0043544C" w:rsidRDefault="003E7DD6" w:rsidP="00C91FBF">
      <w:pPr>
        <w:rPr>
          <w:lang w:eastAsia="ko-KR"/>
        </w:rPr>
      </w:pPr>
      <w:r w:rsidRPr="0043544C">
        <w:rPr>
          <w:i/>
          <w:lang w:eastAsia="ko-KR"/>
        </w:rPr>
        <w:t>c</w:t>
      </w:r>
      <w:r w:rsidRPr="0043544C">
        <w:rPr>
          <w:i/>
        </w:rPr>
        <w:t>)</w:t>
      </w:r>
      <w:r w:rsidRPr="0043544C">
        <w:tab/>
      </w:r>
      <w:r w:rsidRPr="0043544C">
        <w:rPr>
          <w:lang w:eastAsia="ja-JP"/>
        </w:rPr>
        <w:t>que l'</w:t>
      </w:r>
      <w:r w:rsidRPr="0043544C">
        <w:rPr>
          <w:lang w:eastAsia="ko-KR"/>
        </w:rPr>
        <w:t>UIT-R a examiné le cadre et les objectifs généraux</w:t>
      </w:r>
      <w:r w:rsidRPr="0043544C">
        <w:rPr>
          <w:color w:val="000000"/>
        </w:rPr>
        <w:t xml:space="preserve"> du développement futur des IMT</w:t>
      </w:r>
      <w:r w:rsidRPr="0043544C">
        <w:rPr>
          <w:lang w:eastAsia="ko-KR"/>
        </w:rPr>
        <w:t xml:space="preserve"> à l'horizon 2020 et au-delà dans la Recommandation UIT-R M.2083, qui rendront possible un débit de données d'utilisateur</w:t>
      </w:r>
      <w:r w:rsidRPr="0043544C">
        <w:rPr>
          <w:color w:val="000000"/>
        </w:rPr>
        <w:t xml:space="preserve"> de l'ordre du gigabit par seconde et une expérience utilisateur de haute qualité fournie par une grande largeur de bande contiguë dans les bandes de fréquences supérieures à </w:t>
      </w:r>
      <w:r w:rsidRPr="0043544C">
        <w:rPr>
          <w:lang w:eastAsia="ko-KR"/>
        </w:rPr>
        <w:t>6 GHz;</w:t>
      </w:r>
    </w:p>
    <w:p w14:paraId="61BF587B" w14:textId="77777777" w:rsidR="003E7DD6" w:rsidRPr="0043544C" w:rsidRDefault="003E7DD6" w:rsidP="00C91FBF">
      <w:pPr>
        <w:rPr>
          <w:rFonts w:eastAsia="Malgun Gothic"/>
          <w:lang w:eastAsia="ko-KR"/>
        </w:rPr>
      </w:pPr>
      <w:r w:rsidRPr="0043544C">
        <w:rPr>
          <w:i/>
          <w:iCs/>
          <w:lang w:eastAsia="nl-NL"/>
        </w:rPr>
        <w:t>d)</w:t>
      </w:r>
      <w:r w:rsidRPr="0043544C">
        <w:rPr>
          <w:i/>
          <w:iCs/>
          <w:lang w:eastAsia="nl-NL"/>
        </w:rPr>
        <w:tab/>
      </w:r>
      <w:r w:rsidRPr="00847A9B">
        <w:rPr>
          <w:lang w:eastAsia="ko-KR"/>
        </w:rPr>
        <w:t>que la faisabilité technique des IMT dans les bandes supérieures à 6 GHz est examinée dans le Rapport UIT-R M.2376;</w:t>
      </w:r>
    </w:p>
    <w:p w14:paraId="04B24180" w14:textId="77777777" w:rsidR="003E7DD6" w:rsidRPr="0043544C" w:rsidRDefault="003E7DD6" w:rsidP="00C91FBF">
      <w:pPr>
        <w:rPr>
          <w:lang w:eastAsia="ko-KR"/>
        </w:rPr>
      </w:pPr>
      <w:r w:rsidRPr="0043544C">
        <w:rPr>
          <w:i/>
          <w:lang w:eastAsia="ko-KR"/>
        </w:rPr>
        <w:t>e)</w:t>
      </w:r>
      <w:r w:rsidRPr="0043544C">
        <w:rPr>
          <w:lang w:eastAsia="ko-KR"/>
        </w:rPr>
        <w:tab/>
        <w:t xml:space="preserve">qu'il faudra peut-être étudier des besoins de fréquences additionnels pour satisfaire le débit de données d'utilisateur </w:t>
      </w:r>
      <w:r w:rsidRPr="0043544C">
        <w:rPr>
          <w:color w:val="000000"/>
        </w:rPr>
        <w:t xml:space="preserve">de l'ordre du gigabit par seconde, une expérience utilisateur de haute qualité </w:t>
      </w:r>
      <w:r w:rsidRPr="0043544C">
        <w:rPr>
          <w:lang w:eastAsia="ko-KR"/>
        </w:rPr>
        <w:t xml:space="preserve">et </w:t>
      </w:r>
      <w:r w:rsidRPr="0043544C">
        <w:rPr>
          <w:color w:val="000000"/>
        </w:rPr>
        <w:t>la demande des utilisateurs</w:t>
      </w:r>
      <w:r w:rsidRPr="0043544C">
        <w:rPr>
          <w:lang w:eastAsia="ko-KR"/>
        </w:rPr>
        <w:t xml:space="preserve"> dans les </w:t>
      </w:r>
      <w:r w:rsidRPr="0043544C">
        <w:rPr>
          <w:color w:val="000000"/>
        </w:rPr>
        <w:t>zones urbaines denses</w:t>
      </w:r>
      <w:r w:rsidRPr="0043544C">
        <w:rPr>
          <w:lang w:eastAsia="ko-KR"/>
        </w:rPr>
        <w:t xml:space="preserve"> et/ou </w:t>
      </w:r>
      <w:r w:rsidRPr="0043544C">
        <w:rPr>
          <w:color w:val="000000"/>
        </w:rPr>
        <w:t>aux heures de pointe</w:t>
      </w:r>
      <w:r w:rsidRPr="0043544C">
        <w:rPr>
          <w:lang w:eastAsia="ko-KR"/>
        </w:rPr>
        <w:t>;</w:t>
      </w:r>
    </w:p>
    <w:p w14:paraId="458784AC" w14:textId="77777777" w:rsidR="003E7DD6" w:rsidRPr="0043544C" w:rsidRDefault="003E7DD6" w:rsidP="00C91FBF">
      <w:pPr>
        <w:rPr>
          <w:lang w:eastAsia="ja-JP"/>
        </w:rPr>
      </w:pPr>
      <w:r w:rsidRPr="0043544C">
        <w:rPr>
          <w:i/>
          <w:lang w:eastAsia="ko-KR"/>
        </w:rPr>
        <w:t>f</w:t>
      </w:r>
      <w:r w:rsidRPr="0043544C">
        <w:rPr>
          <w:i/>
          <w:lang w:eastAsia="ja-JP"/>
        </w:rPr>
        <w:t>)</w:t>
      </w:r>
      <w:r w:rsidRPr="0043544C">
        <w:rPr>
          <w:lang w:eastAsia="ja-JP"/>
        </w:rPr>
        <w:tab/>
        <w:t>que l'UIT-R a élaboré un programme de travail, un calendrier, des procédures et des produits à fournir pour le développement des IMT-2020, afin de transposer le cadre et les objectifs généraux ci-dessus dans la réalité des systèmes IMT, qui devraient être déployés dès 2020;</w:t>
      </w:r>
    </w:p>
    <w:p w14:paraId="7AF984A9" w14:textId="77777777" w:rsidR="003E7DD6" w:rsidRPr="0043544C" w:rsidRDefault="003E7DD6" w:rsidP="00C91FBF">
      <w:pPr>
        <w:rPr>
          <w:rFonts w:eastAsia="Malgun Gothic"/>
          <w:lang w:eastAsia="ko-KR"/>
        </w:rPr>
      </w:pPr>
      <w:r w:rsidRPr="0043544C">
        <w:rPr>
          <w:i/>
          <w:lang w:eastAsia="ko-KR"/>
        </w:rPr>
        <w:t>g)</w:t>
      </w:r>
      <w:r w:rsidRPr="0043544C">
        <w:rPr>
          <w:lang w:eastAsia="ko-KR"/>
        </w:rPr>
        <w:tab/>
        <w:t>que l'UIT-R a commencé à étudier les caractéristiques de propagation dans les bandes de fréquences supérieures à 6 GHz</w:t>
      </w:r>
      <w:r w:rsidRPr="00847A9B">
        <w:rPr>
          <w:lang w:eastAsia="ko-KR"/>
        </w:rPr>
        <w:t>;</w:t>
      </w:r>
    </w:p>
    <w:p w14:paraId="516340DA" w14:textId="77777777" w:rsidR="003E7DD6" w:rsidRPr="0043544C" w:rsidRDefault="003E7DD6" w:rsidP="00C91FBF">
      <w:pPr>
        <w:rPr>
          <w:rFonts w:eastAsia="Malgun Gothic"/>
        </w:rPr>
      </w:pPr>
      <w:r w:rsidRPr="0043544C">
        <w:rPr>
          <w:i/>
          <w:lang w:eastAsia="ko-KR"/>
        </w:rPr>
        <w:t>h</w:t>
      </w:r>
      <w:r w:rsidRPr="0043544C">
        <w:rPr>
          <w:i/>
        </w:rPr>
        <w:t>)</w:t>
      </w:r>
      <w:r w:rsidRPr="0043544C">
        <w:rPr>
          <w:rFonts w:eastAsia="Malgun Gothic"/>
        </w:rPr>
        <w:tab/>
      </w:r>
      <w:r w:rsidRPr="0043544C">
        <w:rPr>
          <w:lang w:eastAsia="ko-KR"/>
        </w:rPr>
        <w:t>que</w:t>
      </w:r>
      <w:r w:rsidRPr="00847A9B">
        <w:rPr>
          <w:lang w:eastAsia="ko-KR"/>
        </w:rPr>
        <w:t xml:space="preserve"> l'UIT-T a commencé à étudier la normalisation des réseaux pour les IMT à l'horizon 2020 et au-delà;</w:t>
      </w:r>
    </w:p>
    <w:p w14:paraId="67BBD5F7" w14:textId="77777777" w:rsidR="003E7DD6" w:rsidRPr="0043544C" w:rsidRDefault="003E7DD6" w:rsidP="00C91FBF">
      <w:r w:rsidRPr="0043544C">
        <w:rPr>
          <w:i/>
        </w:rPr>
        <w:t>i)</w:t>
      </w:r>
      <w:r w:rsidRPr="0043544C">
        <w:rPr>
          <w:i/>
        </w:rPr>
        <w:tab/>
      </w:r>
      <w:r w:rsidRPr="0043544C">
        <w:t>qu'il est essentiel de mettre à disposition, en temps voulu, une quantité de spectre suffisante et de prévoir des dispositions réglementaires pour atteindre les objectifs de la Recommandation</w:t>
      </w:r>
      <w:r w:rsidRPr="0043544C">
        <w:rPr>
          <w:lang w:eastAsia="ko-KR"/>
        </w:rPr>
        <w:t xml:space="preserve"> UIT-R M.2083</w:t>
      </w:r>
      <w:r w:rsidRPr="0043544C">
        <w:t>;</w:t>
      </w:r>
    </w:p>
    <w:p w14:paraId="2C0C5EB7" w14:textId="77777777" w:rsidR="003E7DD6" w:rsidRPr="0043544C" w:rsidRDefault="003E7DD6" w:rsidP="00C91FBF">
      <w:r w:rsidRPr="0043544C">
        <w:rPr>
          <w:i/>
        </w:rPr>
        <w:t>j)</w:t>
      </w:r>
      <w:r w:rsidRPr="0043544C">
        <w:rPr>
          <w:i/>
        </w:rPr>
        <w:tab/>
      </w:r>
      <w:r w:rsidRPr="0043544C">
        <w:t>qu'il est vivement souhaitable d'utiliser des bandes harmonisées à l'échelle mondiale et des dispositions de fréquences harmonisées pour les IMT, afin de parvenir à l'itinérance mondiale et de tirer parti des économies d'échelle;</w:t>
      </w:r>
    </w:p>
    <w:p w14:paraId="719A613A" w14:textId="77777777" w:rsidR="003E7DD6" w:rsidRPr="0043544C" w:rsidRDefault="003E7DD6" w:rsidP="00C91FBF">
      <w:pPr>
        <w:rPr>
          <w:rFonts w:eastAsia="Malgun Gothic"/>
          <w:lang w:eastAsia="ko-KR"/>
        </w:rPr>
      </w:pPr>
      <w:r w:rsidRPr="0043544C">
        <w:rPr>
          <w:rFonts w:eastAsia="MS Mincho"/>
          <w:i/>
          <w:lang w:eastAsia="ja-JP"/>
        </w:rPr>
        <w:lastRenderedPageBreak/>
        <w:t>k)</w:t>
      </w:r>
      <w:r w:rsidRPr="0043544C">
        <w:rPr>
          <w:rFonts w:eastAsia="MS Mincho"/>
          <w:lang w:eastAsia="ja-JP"/>
        </w:rPr>
        <w:tab/>
      </w:r>
      <w:r w:rsidRPr="00847A9B">
        <w:t>qu'il est nécessaire de protéger les services existants lorsqu'on examine des bandes de fréquences en vue de faire d'éventuelles attributions additionnelles à un service;</w:t>
      </w:r>
    </w:p>
    <w:p w14:paraId="4A90EA9A" w14:textId="77777777" w:rsidR="003E7DD6" w:rsidRPr="0043544C" w:rsidRDefault="003E7DD6" w:rsidP="00847A9B">
      <w:pPr>
        <w:pStyle w:val="Call"/>
      </w:pPr>
      <w:r w:rsidRPr="00847A9B">
        <w:t>notant</w:t>
      </w:r>
    </w:p>
    <w:p w14:paraId="3484EB97" w14:textId="77777777" w:rsidR="003E7DD6" w:rsidRPr="0043544C" w:rsidRDefault="003E7DD6" w:rsidP="00847A9B">
      <w:r w:rsidRPr="0043544C">
        <w:rPr>
          <w:i/>
        </w:rPr>
        <w:t>a)</w:t>
      </w:r>
      <w:r w:rsidRPr="0043544C">
        <w:tab/>
        <w:t>que la Question UIT-R 229/5 traite de la poursuite du développement des IMT;</w:t>
      </w:r>
    </w:p>
    <w:p w14:paraId="6A4ECAEE" w14:textId="77777777" w:rsidR="003E7DD6" w:rsidRPr="0043544C" w:rsidRDefault="003E7DD6" w:rsidP="00C91FBF">
      <w:pPr>
        <w:rPr>
          <w:rFonts w:cs="Arial"/>
          <w:color w:val="000000" w:themeColor="text1"/>
          <w:szCs w:val="24"/>
        </w:rPr>
      </w:pPr>
      <w:r w:rsidRPr="0043544C">
        <w:rPr>
          <w:rFonts w:cs="Arial"/>
          <w:i/>
          <w:color w:val="000000" w:themeColor="text1"/>
          <w:szCs w:val="24"/>
        </w:rPr>
        <w:t>b)</w:t>
      </w:r>
      <w:r w:rsidRPr="0043544C">
        <w:rPr>
          <w:rFonts w:cs="Arial"/>
          <w:color w:val="000000" w:themeColor="text1"/>
          <w:szCs w:val="24"/>
        </w:rPr>
        <w:tab/>
      </w:r>
      <w:r w:rsidRPr="00847A9B">
        <w:t>que les IMT englobent à la fois les IMT-2000, et les IMT évoluées et les IMT-2020, comme indiqué dans la Résolution UIT-R 56-2;</w:t>
      </w:r>
    </w:p>
    <w:p w14:paraId="6BCC0CD0" w14:textId="77777777" w:rsidR="003E7DD6" w:rsidRPr="0043544C" w:rsidRDefault="003E7DD6" w:rsidP="00C91FBF">
      <w:r w:rsidRPr="0043544C">
        <w:rPr>
          <w:i/>
        </w:rPr>
        <w:t>c)</w:t>
      </w:r>
      <w:r w:rsidRPr="0043544C">
        <w:tab/>
        <w:t xml:space="preserve">que la Résolution UIT-R </w:t>
      </w:r>
      <w:r w:rsidRPr="0043544C">
        <w:rPr>
          <w:lang w:eastAsia="ja-JP"/>
        </w:rPr>
        <w:t>[IMT.PRINCIPLES]</w:t>
      </w:r>
      <w:r w:rsidRPr="0043544C">
        <w:t xml:space="preserve"> traite des principes applicables au développement des IMT à l'horizon 2020 et au-delà,</w:t>
      </w:r>
    </w:p>
    <w:p w14:paraId="0E14672D" w14:textId="77777777" w:rsidR="003E7DD6" w:rsidRPr="0043544C" w:rsidRDefault="003E7DD6" w:rsidP="00C91FBF">
      <w:pPr>
        <w:pStyle w:val="Call"/>
        <w:rPr>
          <w:color w:val="000000" w:themeColor="text1"/>
          <w:szCs w:val="24"/>
        </w:rPr>
      </w:pPr>
      <w:r w:rsidRPr="00847A9B">
        <w:t>reconnaissant</w:t>
      </w:r>
    </w:p>
    <w:p w14:paraId="3FC6D422" w14:textId="77777777" w:rsidR="003E7DD6" w:rsidRPr="0043544C" w:rsidRDefault="003E7DD6" w:rsidP="00C91FBF">
      <w:r w:rsidRPr="0043544C">
        <w:rPr>
          <w:rFonts w:cs="Arial"/>
          <w:i/>
          <w:color w:val="000000" w:themeColor="text1"/>
        </w:rPr>
        <w:t>a)</w:t>
      </w:r>
      <w:r w:rsidRPr="0043544C">
        <w:tab/>
        <w:t xml:space="preserve">que la disponibilité en temps voulu de fréquences est importante </w:t>
      </w:r>
      <w:r w:rsidRPr="0043544C">
        <w:rPr>
          <w:color w:val="000000"/>
        </w:rPr>
        <w:t>pour permettre le développement futur des IMT</w:t>
      </w:r>
      <w:r w:rsidRPr="0043544C">
        <w:t>;</w:t>
      </w:r>
    </w:p>
    <w:p w14:paraId="49C4EB53" w14:textId="77777777" w:rsidR="003E7DD6" w:rsidRPr="0043544C" w:rsidRDefault="003E7DD6" w:rsidP="00C91FBF">
      <w:r w:rsidRPr="0043544C">
        <w:rPr>
          <w:rFonts w:cs="Arial"/>
          <w:i/>
          <w:color w:val="000000" w:themeColor="text1"/>
          <w:lang w:eastAsia="ja-JP"/>
        </w:rPr>
        <w:t>b</w:t>
      </w:r>
      <w:r w:rsidRPr="0043544C">
        <w:rPr>
          <w:rFonts w:cs="Arial"/>
          <w:i/>
          <w:color w:val="000000" w:themeColor="text1"/>
        </w:rPr>
        <w:t>)</w:t>
      </w:r>
      <w:r w:rsidRPr="0043544C">
        <w:tab/>
        <w:t>que la possibilité d'obtenir une grande largeur de bande contiguë dans les bandes de fréquences supérieures est particulièrement prometteuse;</w:t>
      </w:r>
    </w:p>
    <w:p w14:paraId="2284BA3A" w14:textId="77777777" w:rsidR="003E7DD6" w:rsidRPr="0043544C" w:rsidRDefault="003E7DD6" w:rsidP="00C91FBF">
      <w:r w:rsidRPr="0043544C">
        <w:rPr>
          <w:i/>
        </w:rPr>
        <w:t>c)</w:t>
      </w:r>
      <w:r w:rsidRPr="0043544C">
        <w:rPr>
          <w:i/>
        </w:rPr>
        <w:tab/>
      </w:r>
      <w:r w:rsidRPr="0043544C">
        <w:t>l'utilisation des parties pertinentes du spectre par d'autres services de radiocommunication, dont beaucoup nécessitent des investissements importants dans les infrastructures ou apportent des avantages non négligeables à la société, ainsi que l'évolution des besoins de ces services;</w:t>
      </w:r>
    </w:p>
    <w:p w14:paraId="58E90C33" w14:textId="77777777" w:rsidR="003E7DD6" w:rsidRPr="0043544C" w:rsidRDefault="003E7DD6" w:rsidP="00C91FBF">
      <w:r w:rsidRPr="0043544C">
        <w:rPr>
          <w:i/>
          <w:iCs/>
        </w:rPr>
        <w:t>d)</w:t>
      </w:r>
      <w:r w:rsidRPr="0043544C">
        <w:tab/>
        <w:t>qu'aucune autre contrainte réglementaire ou technique ne devrait être imposée aux services auxquels la bande est actuellement attribuée à titre primaire;</w:t>
      </w:r>
    </w:p>
    <w:p w14:paraId="7F85E527" w14:textId="77777777" w:rsidR="003E7DD6" w:rsidRPr="0043544C" w:rsidRDefault="003E7DD6" w:rsidP="00C91FBF">
      <w:r w:rsidRPr="0043544C">
        <w:rPr>
          <w:i/>
          <w:iCs/>
        </w:rPr>
        <w:t>e)</w:t>
      </w:r>
      <w:r w:rsidRPr="0043544C">
        <w:tab/>
        <w:t xml:space="preserve">que le </w:t>
      </w:r>
      <w:r w:rsidRPr="0043544C">
        <w:rPr>
          <w:color w:val="000000"/>
        </w:rPr>
        <w:t>Préambule du Règlement des radiocommunications énonce notamment les objectifs suivants</w:t>
      </w:r>
      <w:r w:rsidRPr="0043544C">
        <w:t>:</w:t>
      </w:r>
    </w:p>
    <w:p w14:paraId="4EB50732" w14:textId="77777777" w:rsidR="003E7DD6" w:rsidRPr="0043544C" w:rsidRDefault="003E7DD6" w:rsidP="00C91FBF">
      <w:pPr>
        <w:pStyle w:val="enumlev1"/>
      </w:pPr>
      <w:r w:rsidRPr="0043544C">
        <w:t>–</w:t>
      </w:r>
      <w:r w:rsidRPr="0043544C">
        <w:tab/>
        <w:t>faciliter l'exploitation efficace et efficiente de tous les services de radiocommunication; et</w:t>
      </w:r>
    </w:p>
    <w:p w14:paraId="11E1F716" w14:textId="77777777" w:rsidR="003E7DD6" w:rsidRPr="0043544C" w:rsidRDefault="003E7DD6" w:rsidP="00C91FBF">
      <w:pPr>
        <w:pStyle w:val="enumlev1"/>
      </w:pPr>
      <w:r w:rsidRPr="0043544C">
        <w:t>–</w:t>
      </w:r>
      <w:r w:rsidRPr="0043544C">
        <w:tab/>
        <w:t>prendre en compte, et si nécessaire, réglementer les nouvelles applications des techniques de radiocommunication,</w:t>
      </w:r>
    </w:p>
    <w:p w14:paraId="24D0CC61" w14:textId="77777777" w:rsidR="003E7DD6" w:rsidRPr="0043544C" w:rsidRDefault="003E7DD6" w:rsidP="00C91FBF">
      <w:pPr>
        <w:pStyle w:val="Call"/>
      </w:pPr>
      <w:r w:rsidRPr="0043544C">
        <w:t>décide d'inviter l'UIT-R</w:t>
      </w:r>
    </w:p>
    <w:p w14:paraId="793D605B" w14:textId="77777777" w:rsidR="003E7DD6" w:rsidRPr="0043544C" w:rsidRDefault="003E7DD6" w:rsidP="00C91FBF">
      <w:r w:rsidRPr="0043544C">
        <w:t>1</w:t>
      </w:r>
      <w:r w:rsidRPr="0043544C">
        <w:tab/>
        <w:t xml:space="preserve">à </w:t>
      </w:r>
      <w:r w:rsidRPr="0043544C">
        <w:rPr>
          <w:color w:val="000000"/>
        </w:rPr>
        <w:t>étudier les besoins de spectre</w:t>
      </w:r>
      <w:r w:rsidRPr="0043544C">
        <w:rPr>
          <w:lang w:eastAsia="ja-JP"/>
        </w:rPr>
        <w:t xml:space="preserve"> associés aux </w:t>
      </w:r>
      <w:r w:rsidRPr="0043544C">
        <w:rPr>
          <w:color w:val="000000"/>
        </w:rPr>
        <w:t>fonctionnalités requises</w:t>
      </w:r>
      <w:r w:rsidRPr="0043544C">
        <w:rPr>
          <w:lang w:eastAsia="ja-JP"/>
        </w:rPr>
        <w:t xml:space="preserve"> pour le développement des IMT-2020, </w:t>
      </w:r>
      <w:r w:rsidRPr="0043544C">
        <w:t>en tenant compte:</w:t>
      </w:r>
    </w:p>
    <w:p w14:paraId="42A668F6" w14:textId="77777777" w:rsidR="003E7DD6" w:rsidRPr="0043544C" w:rsidRDefault="003E7DD6" w:rsidP="00C91FBF">
      <w:pPr>
        <w:pStyle w:val="enumlev1"/>
        <w:rPr>
          <w:lang w:eastAsia="ko-KR"/>
        </w:rPr>
      </w:pPr>
      <w:r w:rsidRPr="0043544C">
        <w:t>–</w:t>
      </w:r>
      <w:r w:rsidRPr="0043544C">
        <w:tab/>
        <w:t xml:space="preserve">de l'évolution des besoins, par exemple de débits de données très élevés, pour satisfaire la </w:t>
      </w:r>
      <w:r w:rsidRPr="0043544C">
        <w:rPr>
          <w:color w:val="000000"/>
        </w:rPr>
        <w:t>demande des utilisateurs en ce qui concerne les IMT</w:t>
      </w:r>
      <w:r w:rsidRPr="0043544C">
        <w:t>;</w:t>
      </w:r>
    </w:p>
    <w:p w14:paraId="05158069" w14:textId="77777777" w:rsidR="003E7DD6" w:rsidRPr="0043544C" w:rsidRDefault="003E7DD6" w:rsidP="00C91FBF">
      <w:pPr>
        <w:pStyle w:val="enumlev1"/>
        <w:rPr>
          <w:lang w:eastAsia="ko-KR"/>
        </w:rPr>
      </w:pPr>
      <w:r w:rsidRPr="0043544C">
        <w:t>–</w:t>
      </w:r>
      <w:r w:rsidRPr="0043544C">
        <w:tab/>
        <w:t>des situations dans lesquelles</w:t>
      </w:r>
      <w:r w:rsidRPr="0043544C">
        <w:rPr>
          <w:color w:val="000000"/>
        </w:rPr>
        <w:t xml:space="preserve"> la demande de trafic de données</w:t>
      </w:r>
      <w:r w:rsidRPr="0043544C">
        <w:t xml:space="preserve"> est élevée, par exemple dans les zones urbaines denses et/ou aux heures de pointe</w:t>
      </w:r>
      <w:r w:rsidRPr="0043544C">
        <w:rPr>
          <w:lang w:eastAsia="ko-KR"/>
        </w:rPr>
        <w:t>;</w:t>
      </w:r>
    </w:p>
    <w:p w14:paraId="24EBE3DC" w14:textId="77777777" w:rsidR="003E7DD6" w:rsidRPr="0043544C" w:rsidRDefault="003E7DD6" w:rsidP="00C91FBF">
      <w:pPr>
        <w:pStyle w:val="enumlev1"/>
        <w:rPr>
          <w:lang w:eastAsia="ko-KR"/>
        </w:rPr>
      </w:pPr>
      <w:r w:rsidRPr="0043544C">
        <w:rPr>
          <w:lang w:eastAsia="ko-KR"/>
        </w:rPr>
        <w:t>–</w:t>
      </w:r>
      <w:r w:rsidRPr="0043544C">
        <w:rPr>
          <w:lang w:eastAsia="ko-KR"/>
        </w:rPr>
        <w:tab/>
        <w:t>des caractéristiques techniques et opérationnelles des systèmes IMT dans les bandes de fréquences élevées, y compris de l'évolution des IMT grâce aux progrès technologiques et aux techniques à grande efficacité spectrale, ainsi que du déploiement de ces systèmes;</w:t>
      </w:r>
    </w:p>
    <w:p w14:paraId="08912CBE" w14:textId="77777777" w:rsidR="003E7DD6" w:rsidRPr="0043544C" w:rsidRDefault="003E7DD6" w:rsidP="00C91FBF">
      <w:pPr>
        <w:pStyle w:val="enumlev1"/>
        <w:rPr>
          <w:lang w:eastAsia="ko-KR"/>
        </w:rPr>
      </w:pPr>
      <w:r w:rsidRPr="0043544C">
        <w:rPr>
          <w:lang w:eastAsia="ko-KR"/>
        </w:rPr>
        <w:t>–</w:t>
      </w:r>
      <w:r w:rsidRPr="0043544C">
        <w:rPr>
          <w:lang w:eastAsia="ko-KR"/>
        </w:rPr>
        <w:tab/>
        <w:t>des délais dans lesquels les bandes de fréquences seraient nécessaires;</w:t>
      </w:r>
    </w:p>
    <w:p w14:paraId="446E22E1" w14:textId="77777777" w:rsidR="003E7DD6" w:rsidRPr="0043544C" w:rsidRDefault="003E7DD6" w:rsidP="00C91FBF">
      <w:pPr>
        <w:keepLines/>
      </w:pPr>
      <w:r w:rsidRPr="0043544C">
        <w:t>2</w:t>
      </w:r>
      <w:r w:rsidRPr="0043544C">
        <w:tab/>
        <w:t xml:space="preserve">à étudier </w:t>
      </w:r>
      <w:r w:rsidRPr="0043544C">
        <w:rPr>
          <w:color w:val="000000"/>
        </w:rPr>
        <w:t>les bandes de fréquences qui pourraient être envisagées</w:t>
      </w:r>
      <w:r w:rsidRPr="0043544C">
        <w:rPr>
          <w:lang w:eastAsia="ko-KR"/>
        </w:rPr>
        <w:t xml:space="preserve"> pour les IMT, y compris des attributions additionnelles possibles </w:t>
      </w:r>
      <w:r w:rsidRPr="0043544C">
        <w:t>à</w:t>
      </w:r>
      <w:r w:rsidRPr="0043544C">
        <w:rPr>
          <w:lang w:eastAsia="ko-KR"/>
        </w:rPr>
        <w:t xml:space="preserve"> titre primaire au service mobile dans les gammes de fréquences indiquées dans l'Annexe 1 de la présente Résolution, compte tenu des résultats des études </w:t>
      </w:r>
      <w:r w:rsidRPr="0043544C">
        <w:rPr>
          <w:color w:val="000000"/>
        </w:rPr>
        <w:t>visées au point 1 du décide d'inviter l'UIT-R</w:t>
      </w:r>
      <w:r w:rsidRPr="0043544C">
        <w:rPr>
          <w:lang w:eastAsia="ko-KR"/>
        </w:rPr>
        <w:t xml:space="preserve"> </w:t>
      </w:r>
      <w:r w:rsidRPr="0043544C">
        <w:rPr>
          <w:color w:val="000000"/>
        </w:rPr>
        <w:t>et, dans la mesure du possible, de la nécessité d'une harmonisation,</w:t>
      </w:r>
    </w:p>
    <w:p w14:paraId="503CF1DF" w14:textId="77777777" w:rsidR="003E7DD6" w:rsidRPr="0043544C" w:rsidRDefault="003E7DD6" w:rsidP="00C91FBF">
      <w:pPr>
        <w:pStyle w:val="Call"/>
      </w:pPr>
      <w:r w:rsidRPr="0043544C">
        <w:lastRenderedPageBreak/>
        <w:t xml:space="preserve">décide en outre </w:t>
      </w:r>
    </w:p>
    <w:p w14:paraId="4D17D393" w14:textId="77777777" w:rsidR="003E7DD6" w:rsidRPr="0043544C" w:rsidRDefault="003E7DD6" w:rsidP="00C91FBF">
      <w:r w:rsidRPr="0043544C">
        <w:t>1</w:t>
      </w:r>
      <w:r w:rsidRPr="0043544C">
        <w:tab/>
        <w:t xml:space="preserve">d'accélérer la définition et la mise au point définitive des caractéristiques techniques et opérationnelles nécessaires pour procéder à des études de partage et de compatibilité concernant les systèmes </w:t>
      </w:r>
      <w:r w:rsidRPr="0043544C">
        <w:rPr>
          <w:color w:val="000000"/>
        </w:rPr>
        <w:t xml:space="preserve">désignés sous la dénomination </w:t>
      </w:r>
      <w:r w:rsidRPr="0043544C">
        <w:t>IMT-2020;</w:t>
      </w:r>
    </w:p>
    <w:p w14:paraId="261C86E5" w14:textId="77777777" w:rsidR="003E7DD6" w:rsidRPr="0043544C" w:rsidRDefault="003E7DD6" w:rsidP="00C91FBF">
      <w:r w:rsidRPr="0043544C">
        <w:t>2</w:t>
      </w:r>
      <w:r w:rsidRPr="0043544C">
        <w:tab/>
        <w:t xml:space="preserve">que les études visées au point 2 du </w:t>
      </w:r>
      <w:r w:rsidRPr="0043544C">
        <w:rPr>
          <w:i/>
          <w:iCs/>
        </w:rPr>
        <w:t>décide</w:t>
      </w:r>
      <w:r w:rsidRPr="0043544C">
        <w:t xml:space="preserve"> </w:t>
      </w:r>
      <w:r w:rsidRPr="0043544C">
        <w:rPr>
          <w:i/>
          <w:iCs/>
        </w:rPr>
        <w:t>d'inviter l'UIT-R</w:t>
      </w:r>
      <w:r w:rsidRPr="0043544C">
        <w:t xml:space="preserve"> porteront notamment sur le partage et la compatibilité avec les services bénéficiant déjà d'attributions à titre primaire dans les bandes qui pourraient être envisagées et dans des bandes adjacentes, selon le cas, compte tenu des </w:t>
      </w:r>
      <w:r w:rsidRPr="0043544C">
        <w:rPr>
          <w:color w:val="000000"/>
        </w:rPr>
        <w:t>techniques possibles de réduction des brouillages susceptibles d'être employées par les systèmes IMT</w:t>
      </w:r>
      <w:r w:rsidRPr="0043544C">
        <w:t>;</w:t>
      </w:r>
    </w:p>
    <w:p w14:paraId="2F6FC686" w14:textId="77777777" w:rsidR="003E7DD6" w:rsidRPr="0043544C" w:rsidRDefault="003E7DD6" w:rsidP="00C91FBF">
      <w:r w:rsidRPr="0043544C">
        <w:t>3</w:t>
      </w:r>
      <w:r w:rsidRPr="0043544C">
        <w:tab/>
        <w:t>d'inviter la CMR-19 à examiner les résultats des études susmentionnées et à prendre les mesures appropriées,</w:t>
      </w:r>
    </w:p>
    <w:p w14:paraId="6E1FD985" w14:textId="77777777" w:rsidR="003E7DD6" w:rsidRPr="0043544C" w:rsidRDefault="003E7DD6" w:rsidP="00C91FBF">
      <w:pPr>
        <w:pStyle w:val="Call"/>
      </w:pPr>
      <w:r w:rsidRPr="0043544C">
        <w:t xml:space="preserve">encourage les </w:t>
      </w:r>
      <w:proofErr w:type="spellStart"/>
      <w:r w:rsidRPr="0043544C">
        <w:t>Etats</w:t>
      </w:r>
      <w:proofErr w:type="spellEnd"/>
      <w:r w:rsidRPr="0043544C">
        <w:t xml:space="preserve"> Membres, les Membres de Secteur, les établissements universitaires et les Associés</w:t>
      </w:r>
    </w:p>
    <w:p w14:paraId="56E8B129" w14:textId="77777777" w:rsidR="003E7DD6" w:rsidRDefault="003E7DD6" w:rsidP="00847A9B">
      <w:pPr>
        <w:rPr>
          <w:lang w:eastAsia="nl-NL"/>
        </w:rPr>
      </w:pPr>
      <w:r w:rsidRPr="0043544C">
        <w:rPr>
          <w:lang w:eastAsia="nl-NL"/>
        </w:rPr>
        <w:t>à participer aux études en soumettant des contributions à l'UIT-R.</w:t>
      </w:r>
    </w:p>
    <w:p w14:paraId="75765F0D" w14:textId="1D9F0D5B" w:rsidR="00847A9B" w:rsidRPr="00847A9B" w:rsidRDefault="003E7DD6" w:rsidP="00847A9B">
      <w:pPr>
        <w:pStyle w:val="AnnexNo"/>
      </w:pPr>
      <w:r w:rsidRPr="00847A9B">
        <w:t>ANNeXe 1 du projet de nouvelle résolution</w:t>
      </w:r>
      <w:r w:rsidRPr="00847A9B">
        <w:br/>
        <w:t>[</w:t>
      </w:r>
      <w:r w:rsidR="00786E91" w:rsidRPr="00847A9B">
        <w:t>IND</w:t>
      </w:r>
      <w:r w:rsidR="00C64877" w:rsidRPr="00847A9B">
        <w:t>-B10-IMT_</w:t>
      </w:r>
      <w:r w:rsidRPr="00847A9B">
        <w:t>ABOVE</w:t>
      </w:r>
      <w:r w:rsidR="00C64877" w:rsidRPr="00847A9B">
        <w:t>_6_</w:t>
      </w:r>
      <w:r w:rsidRPr="00847A9B">
        <w:t>GHz]</w:t>
      </w:r>
    </w:p>
    <w:p w14:paraId="789C074C" w14:textId="7F0FD73F" w:rsidR="003E7DD6" w:rsidRPr="00445A8F" w:rsidRDefault="003E7DD6" w:rsidP="00C91FBF">
      <w:pPr>
        <w:pStyle w:val="Annextitle"/>
        <w:rPr>
          <w:rFonts w:eastAsia="MS Mincho" w:hint="eastAsia"/>
          <w:lang w:eastAsia="ja-JP"/>
        </w:rPr>
      </w:pPr>
      <w:r w:rsidRPr="00847A9B">
        <w:t>Gammes de fréquences visées dans la partie «décide d'inviter l'UIT-R» du projet de nouvelle Résolution [</w:t>
      </w:r>
      <w:r w:rsidR="00786E91" w:rsidRPr="00847A9B">
        <w:t>IND</w:t>
      </w:r>
      <w:r w:rsidR="00C64877" w:rsidRPr="00847A9B">
        <w:t>-B10-IMT_ABOVE_6_</w:t>
      </w:r>
      <w:r w:rsidRPr="00847A9B">
        <w:t>GHz]</w:t>
      </w:r>
    </w:p>
    <w:p w14:paraId="14D0F449" w14:textId="77777777" w:rsidR="003E7DD6" w:rsidRPr="00445A8F" w:rsidRDefault="003E7DD6" w:rsidP="00C91FBF"/>
    <w:tbl>
      <w:tblPr>
        <w:tblW w:w="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008"/>
      </w:tblGrid>
      <w:tr w:rsidR="003E7DD6" w:rsidRPr="0043544C" w14:paraId="54DA6072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000000" w:fill="BFBFBF"/>
            <w:vAlign w:val="center"/>
            <w:hideMark/>
          </w:tcPr>
          <w:p w14:paraId="2F3849CB" w14:textId="77777777" w:rsidR="003E7DD6" w:rsidRPr="0043544C" w:rsidRDefault="003E7DD6" w:rsidP="00C91FBF">
            <w:pPr>
              <w:pStyle w:val="Tablehead"/>
            </w:pPr>
            <w:r w:rsidRPr="0043544C">
              <w:t>entre (GHz)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14:paraId="1D73D035" w14:textId="77777777" w:rsidR="003E7DD6" w:rsidRPr="0043544C" w:rsidRDefault="003E7DD6" w:rsidP="00C91FBF">
            <w:pPr>
              <w:pStyle w:val="Tablehead"/>
            </w:pPr>
            <w:r w:rsidRPr="0043544C">
              <w:t>et (GHz)</w:t>
            </w:r>
          </w:p>
        </w:tc>
        <w:tc>
          <w:tcPr>
            <w:tcW w:w="2008" w:type="dxa"/>
            <w:shd w:val="clear" w:color="000000" w:fill="BFBFBF"/>
          </w:tcPr>
          <w:p w14:paraId="7F074476" w14:textId="77777777" w:rsidR="003E7DD6" w:rsidRPr="0043544C" w:rsidRDefault="003E7DD6" w:rsidP="00C91FBF">
            <w:pPr>
              <w:pStyle w:val="Tablehead"/>
            </w:pPr>
            <w:r w:rsidRPr="0043544C">
              <w:t>Largeur de bande (GHz)</w:t>
            </w:r>
          </w:p>
        </w:tc>
      </w:tr>
      <w:tr w:rsidR="009B5406" w:rsidRPr="0043544C" w14:paraId="77BDFC7A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58B2DFBC" w14:textId="77777777" w:rsidR="009B5406" w:rsidRPr="0043544C" w:rsidRDefault="009B5406" w:rsidP="00C91FBF">
            <w:pPr>
              <w:pStyle w:val="Tabletext"/>
              <w:jc w:val="center"/>
              <w:rPr>
                <w:b/>
                <w:bCs/>
              </w:rPr>
            </w:pPr>
            <w:r w:rsidRPr="0043544C">
              <w:rPr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E25D5" w14:textId="77777777" w:rsidR="009B5406" w:rsidRPr="0043544C" w:rsidRDefault="009B5406" w:rsidP="00C91FBF">
            <w:pPr>
              <w:pStyle w:val="Tabletext"/>
              <w:jc w:val="center"/>
              <w:rPr>
                <w:b/>
                <w:bCs/>
              </w:rPr>
            </w:pPr>
            <w:r w:rsidRPr="0043544C">
              <w:rPr>
                <w:b/>
                <w:bCs/>
              </w:rPr>
              <w:t>10</w:t>
            </w:r>
          </w:p>
        </w:tc>
        <w:tc>
          <w:tcPr>
            <w:tcW w:w="2008" w:type="dxa"/>
            <w:vAlign w:val="center"/>
          </w:tcPr>
          <w:p w14:paraId="283E43DB" w14:textId="77777777" w:rsidR="009B5406" w:rsidRPr="0043544C" w:rsidRDefault="009B5406" w:rsidP="00C91FBF">
            <w:pPr>
              <w:pStyle w:val="Tabletext"/>
              <w:jc w:val="center"/>
              <w:rPr>
                <w:b/>
                <w:bCs/>
              </w:rPr>
            </w:pPr>
            <w:r w:rsidRPr="0043544C">
              <w:rPr>
                <w:b/>
                <w:bCs/>
              </w:rPr>
              <w:t>4</w:t>
            </w:r>
          </w:p>
        </w:tc>
      </w:tr>
      <w:tr w:rsidR="003E7DD6" w:rsidRPr="0043544C" w14:paraId="47CF41B6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14:paraId="4E8BBEF1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25,25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90FAC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25,5</w:t>
            </w:r>
          </w:p>
        </w:tc>
        <w:tc>
          <w:tcPr>
            <w:tcW w:w="2008" w:type="dxa"/>
            <w:vAlign w:val="center"/>
          </w:tcPr>
          <w:p w14:paraId="5C4B1771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0,25</w:t>
            </w:r>
          </w:p>
        </w:tc>
      </w:tr>
      <w:tr w:rsidR="003E7DD6" w:rsidRPr="0043544C" w14:paraId="34730C92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7518C006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31,8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BAF5F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33,4</w:t>
            </w:r>
          </w:p>
        </w:tc>
        <w:tc>
          <w:tcPr>
            <w:tcW w:w="2008" w:type="dxa"/>
            <w:vAlign w:val="center"/>
          </w:tcPr>
          <w:p w14:paraId="76D3BFD4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1,6</w:t>
            </w:r>
          </w:p>
        </w:tc>
      </w:tr>
      <w:tr w:rsidR="003E7DD6" w:rsidRPr="0043544C" w14:paraId="2348DDAA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CB60DE3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F96EE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47</w:t>
            </w:r>
          </w:p>
        </w:tc>
        <w:tc>
          <w:tcPr>
            <w:tcW w:w="2008" w:type="dxa"/>
            <w:vAlign w:val="center"/>
          </w:tcPr>
          <w:p w14:paraId="358DFDA8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8</w:t>
            </w:r>
          </w:p>
        </w:tc>
      </w:tr>
      <w:tr w:rsidR="003E7DD6" w:rsidRPr="0043544C" w14:paraId="50166E17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14:paraId="3D6C8F1C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47,2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BB0289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50,2</w:t>
            </w:r>
          </w:p>
        </w:tc>
        <w:tc>
          <w:tcPr>
            <w:tcW w:w="2008" w:type="dxa"/>
            <w:vAlign w:val="center"/>
          </w:tcPr>
          <w:p w14:paraId="095D01B0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3</w:t>
            </w:r>
          </w:p>
        </w:tc>
      </w:tr>
      <w:tr w:rsidR="003E7DD6" w:rsidRPr="0043544C" w14:paraId="6EA6A6CC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14:paraId="078A4831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50,4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003F7D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52,6</w:t>
            </w:r>
          </w:p>
        </w:tc>
        <w:tc>
          <w:tcPr>
            <w:tcW w:w="2008" w:type="dxa"/>
            <w:vAlign w:val="center"/>
          </w:tcPr>
          <w:p w14:paraId="27908763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2,2</w:t>
            </w:r>
          </w:p>
        </w:tc>
      </w:tr>
      <w:tr w:rsidR="003E7DD6" w:rsidRPr="0043544C" w14:paraId="20E17D40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14:paraId="0A59C50B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8DDE3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76</w:t>
            </w:r>
          </w:p>
        </w:tc>
        <w:tc>
          <w:tcPr>
            <w:tcW w:w="2008" w:type="dxa"/>
            <w:vAlign w:val="center"/>
          </w:tcPr>
          <w:p w14:paraId="70950B5A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10</w:t>
            </w:r>
          </w:p>
        </w:tc>
      </w:tr>
      <w:tr w:rsidR="003E7DD6" w:rsidRPr="0043544C" w14:paraId="2B9F7451" w14:textId="77777777" w:rsidTr="006766AE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14:paraId="058EB5FA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E7F45D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86</w:t>
            </w:r>
          </w:p>
        </w:tc>
        <w:tc>
          <w:tcPr>
            <w:tcW w:w="2008" w:type="dxa"/>
            <w:vAlign w:val="center"/>
          </w:tcPr>
          <w:p w14:paraId="339664A2" w14:textId="77777777" w:rsidR="003E7DD6" w:rsidRPr="0043544C" w:rsidRDefault="003E7DD6" w:rsidP="00C91FBF">
            <w:pPr>
              <w:pStyle w:val="Tabletext"/>
              <w:jc w:val="center"/>
            </w:pPr>
            <w:r w:rsidRPr="0043544C">
              <w:t>5</w:t>
            </w:r>
          </w:p>
        </w:tc>
      </w:tr>
    </w:tbl>
    <w:p w14:paraId="1F3E1C9F" w14:textId="77777777" w:rsidR="003E7DD6" w:rsidRPr="00847A9B" w:rsidRDefault="003E7DD6" w:rsidP="00C91FBF"/>
    <w:p w14:paraId="2CDCC765" w14:textId="77777777" w:rsidR="003E7DD6" w:rsidRDefault="003E7DD6" w:rsidP="00C91FBF">
      <w:pPr>
        <w:pStyle w:val="Reasons"/>
      </w:pPr>
      <w:r w:rsidRPr="0043544C">
        <w:rPr>
          <w:b/>
        </w:rPr>
        <w:t>Moti</w:t>
      </w:r>
      <w:bookmarkStart w:id="6" w:name="_GoBack"/>
      <w:bookmarkEnd w:id="6"/>
      <w:r w:rsidRPr="0043544C">
        <w:rPr>
          <w:b/>
        </w:rPr>
        <w:t>fs:</w:t>
      </w:r>
      <w:r w:rsidRPr="0043544C">
        <w:tab/>
        <w:t>Projet de nouvelle Résolution allant dans le sens du point relatif au développement futur des IMT à l'horizon 2020 et au-delà, qu'il est proposé d'inscrire à l'ordre du jour de la CMR-19.</w:t>
      </w:r>
    </w:p>
    <w:p w14:paraId="2CDA3A0B" w14:textId="77777777" w:rsidR="0032574C" w:rsidRDefault="0032574C" w:rsidP="00C91FBF">
      <w:pPr>
        <w:pStyle w:val="Reasons"/>
      </w:pPr>
    </w:p>
    <w:p w14:paraId="4AF1955B" w14:textId="77777777" w:rsidR="0032574C" w:rsidRDefault="0032574C" w:rsidP="00C91FBF">
      <w:pPr>
        <w:jc w:val="center"/>
      </w:pPr>
      <w:r>
        <w:t>______________</w:t>
      </w:r>
    </w:p>
    <w:p w14:paraId="30FBAA56" w14:textId="77777777" w:rsidR="0032574C" w:rsidRPr="00445A8F" w:rsidRDefault="0032574C" w:rsidP="00C91FBF">
      <w:pPr>
        <w:pStyle w:val="Reasons"/>
      </w:pPr>
    </w:p>
    <w:sectPr w:rsidR="0032574C" w:rsidRPr="00445A8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10D13" w14:textId="77777777" w:rsidR="001F17E8" w:rsidRDefault="001F17E8">
      <w:r>
        <w:separator/>
      </w:r>
    </w:p>
  </w:endnote>
  <w:endnote w:type="continuationSeparator" w:id="0">
    <w:p w14:paraId="08F25EA2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E13D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0270F">
      <w:rPr>
        <w:noProof/>
        <w:lang w:val="en-US"/>
      </w:rPr>
      <w:t>P:\FRA\ITU-R\CONF-R\CMR15\100\107ADD24F.docx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7476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270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AC198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0270F">
      <w:rPr>
        <w:lang w:val="en-US"/>
      </w:rPr>
      <w:t>P:\FRA\ITU-R\CONF-R\CMR15\100\107ADD24F.docx</w:t>
    </w:r>
    <w:r>
      <w:fldChar w:fldCharType="end"/>
    </w:r>
    <w:r w:rsidR="009B3EFE" w:rsidRPr="009476D4">
      <w:rPr>
        <w:lang w:val="en-US"/>
      </w:rPr>
      <w:t xml:space="preserve"> (388845)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7476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270F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9CD0" w14:textId="77777777" w:rsidR="00936D25" w:rsidRDefault="00936D25" w:rsidP="009B3EF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0270F">
      <w:rPr>
        <w:lang w:val="en-US"/>
      </w:rPr>
      <w:t>P:\FRA\ITU-R\CONF-R\CMR15\100\107ADD24F.docx</w:t>
    </w:r>
    <w:r>
      <w:fldChar w:fldCharType="end"/>
    </w:r>
    <w:r w:rsidR="009B3EFE" w:rsidRPr="009476D4">
      <w:rPr>
        <w:lang w:val="en-US"/>
      </w:rPr>
      <w:t xml:space="preserve"> (388845)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7476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270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2B84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BAB457F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19D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C7476">
      <w:rPr>
        <w:noProof/>
      </w:rPr>
      <w:t>7</w:t>
    </w:r>
    <w:r>
      <w:fldChar w:fldCharType="end"/>
    </w:r>
  </w:p>
  <w:p w14:paraId="2C0CDCB1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107(Add.24)-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73D5"/>
    <w:rsid w:val="00080E2C"/>
    <w:rsid w:val="00097AE5"/>
    <w:rsid w:val="000A4755"/>
    <w:rsid w:val="000B2E0C"/>
    <w:rsid w:val="000B3D0C"/>
    <w:rsid w:val="001167B9"/>
    <w:rsid w:val="001267A0"/>
    <w:rsid w:val="0013555A"/>
    <w:rsid w:val="0015203F"/>
    <w:rsid w:val="001559F4"/>
    <w:rsid w:val="00160C64"/>
    <w:rsid w:val="0018169B"/>
    <w:rsid w:val="0019352B"/>
    <w:rsid w:val="001960D0"/>
    <w:rsid w:val="001A3D21"/>
    <w:rsid w:val="001D1926"/>
    <w:rsid w:val="001D7DCE"/>
    <w:rsid w:val="001F17E8"/>
    <w:rsid w:val="00200888"/>
    <w:rsid w:val="00204306"/>
    <w:rsid w:val="00232FD2"/>
    <w:rsid w:val="002358F6"/>
    <w:rsid w:val="0026554E"/>
    <w:rsid w:val="00266942"/>
    <w:rsid w:val="002855FA"/>
    <w:rsid w:val="002A4622"/>
    <w:rsid w:val="002A6F8F"/>
    <w:rsid w:val="002B17E5"/>
    <w:rsid w:val="002C0EBF"/>
    <w:rsid w:val="002C28A4"/>
    <w:rsid w:val="002E2FE3"/>
    <w:rsid w:val="00315AFE"/>
    <w:rsid w:val="0032574C"/>
    <w:rsid w:val="00336C60"/>
    <w:rsid w:val="0035505D"/>
    <w:rsid w:val="003606A6"/>
    <w:rsid w:val="0036650C"/>
    <w:rsid w:val="00393ACD"/>
    <w:rsid w:val="003940EC"/>
    <w:rsid w:val="003A17E5"/>
    <w:rsid w:val="003A583E"/>
    <w:rsid w:val="003E112B"/>
    <w:rsid w:val="003E1D1C"/>
    <w:rsid w:val="003E7B05"/>
    <w:rsid w:val="003E7DD6"/>
    <w:rsid w:val="0043544C"/>
    <w:rsid w:val="00466211"/>
    <w:rsid w:val="004834A9"/>
    <w:rsid w:val="004D01FC"/>
    <w:rsid w:val="004E28C3"/>
    <w:rsid w:val="004F1F8E"/>
    <w:rsid w:val="00512A32"/>
    <w:rsid w:val="00531611"/>
    <w:rsid w:val="00586CF2"/>
    <w:rsid w:val="005C3768"/>
    <w:rsid w:val="005C6C3F"/>
    <w:rsid w:val="00613635"/>
    <w:rsid w:val="0062093D"/>
    <w:rsid w:val="00637ECF"/>
    <w:rsid w:val="00647B59"/>
    <w:rsid w:val="00651D9F"/>
    <w:rsid w:val="00690C7B"/>
    <w:rsid w:val="006A49F3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86E91"/>
    <w:rsid w:val="007A04E8"/>
    <w:rsid w:val="007C3489"/>
    <w:rsid w:val="007C7476"/>
    <w:rsid w:val="00847A9B"/>
    <w:rsid w:val="00851625"/>
    <w:rsid w:val="00851B88"/>
    <w:rsid w:val="00863C0A"/>
    <w:rsid w:val="008A3120"/>
    <w:rsid w:val="008D41BE"/>
    <w:rsid w:val="008D58D3"/>
    <w:rsid w:val="00923064"/>
    <w:rsid w:val="00930FFD"/>
    <w:rsid w:val="00936D25"/>
    <w:rsid w:val="00941EA5"/>
    <w:rsid w:val="009476D4"/>
    <w:rsid w:val="00951EAA"/>
    <w:rsid w:val="00964700"/>
    <w:rsid w:val="00966C16"/>
    <w:rsid w:val="00972078"/>
    <w:rsid w:val="0098732F"/>
    <w:rsid w:val="009A045F"/>
    <w:rsid w:val="009B3EFE"/>
    <w:rsid w:val="009B5406"/>
    <w:rsid w:val="009C7E7C"/>
    <w:rsid w:val="00A00473"/>
    <w:rsid w:val="00A03C9B"/>
    <w:rsid w:val="00A37105"/>
    <w:rsid w:val="00A606C3"/>
    <w:rsid w:val="00A732CD"/>
    <w:rsid w:val="00A83B09"/>
    <w:rsid w:val="00A84541"/>
    <w:rsid w:val="00AA487C"/>
    <w:rsid w:val="00AA71E7"/>
    <w:rsid w:val="00AE36A0"/>
    <w:rsid w:val="00B00294"/>
    <w:rsid w:val="00B44FF1"/>
    <w:rsid w:val="00B53FBA"/>
    <w:rsid w:val="00B64FD0"/>
    <w:rsid w:val="00B913BE"/>
    <w:rsid w:val="00BA5BD0"/>
    <w:rsid w:val="00BB1D82"/>
    <w:rsid w:val="00BF26E7"/>
    <w:rsid w:val="00C2307F"/>
    <w:rsid w:val="00C4773A"/>
    <w:rsid w:val="00C53FCA"/>
    <w:rsid w:val="00C64877"/>
    <w:rsid w:val="00C71101"/>
    <w:rsid w:val="00C76BAF"/>
    <w:rsid w:val="00C814B9"/>
    <w:rsid w:val="00C81FB6"/>
    <w:rsid w:val="00C91FBF"/>
    <w:rsid w:val="00CC33E2"/>
    <w:rsid w:val="00CD516F"/>
    <w:rsid w:val="00D0270F"/>
    <w:rsid w:val="00D119A7"/>
    <w:rsid w:val="00D25FBA"/>
    <w:rsid w:val="00D32B28"/>
    <w:rsid w:val="00D36B81"/>
    <w:rsid w:val="00D42954"/>
    <w:rsid w:val="00D66EAC"/>
    <w:rsid w:val="00D730DF"/>
    <w:rsid w:val="00D772F0"/>
    <w:rsid w:val="00D77BDC"/>
    <w:rsid w:val="00D77E12"/>
    <w:rsid w:val="00DC402B"/>
    <w:rsid w:val="00DE0932"/>
    <w:rsid w:val="00DF47ED"/>
    <w:rsid w:val="00E03A27"/>
    <w:rsid w:val="00E03F84"/>
    <w:rsid w:val="00E049F1"/>
    <w:rsid w:val="00E37A25"/>
    <w:rsid w:val="00E537FF"/>
    <w:rsid w:val="00E56B03"/>
    <w:rsid w:val="00E6539B"/>
    <w:rsid w:val="00E70A31"/>
    <w:rsid w:val="00EA3F38"/>
    <w:rsid w:val="00EA5AB6"/>
    <w:rsid w:val="00EC7615"/>
    <w:rsid w:val="00ED16AA"/>
    <w:rsid w:val="00EE3F40"/>
    <w:rsid w:val="00EF662E"/>
    <w:rsid w:val="00F148F1"/>
    <w:rsid w:val="00F213AD"/>
    <w:rsid w:val="00F814B8"/>
    <w:rsid w:val="00FA3BBF"/>
    <w:rsid w:val="00FA5BCC"/>
    <w:rsid w:val="00FC41F8"/>
    <w:rsid w:val="00FD1E6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830D6A"/>
  <w15:docId w15:val="{91FF4D2E-F8C4-4792-96AC-8B7BB11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paragraph" w:customStyle="1" w:styleId="Normalaftertitle0">
    <w:name w:val="Normal_after_title"/>
    <w:basedOn w:val="Normal"/>
    <w:next w:val="Normal"/>
    <w:rsid w:val="001D7DC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both"/>
    </w:pPr>
    <w:rPr>
      <w:rFonts w:eastAsia="MS Mincho"/>
      <w:lang w:val="en-GB"/>
    </w:rPr>
  </w:style>
  <w:style w:type="character" w:customStyle="1" w:styleId="ReasonsChar">
    <w:name w:val="Reasons Char"/>
    <w:basedOn w:val="DefaultParagraphFont"/>
    <w:link w:val="Reasons"/>
    <w:rsid w:val="001D7DC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3E7DD6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3E7DD6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E7DD6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1A3D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2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2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21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A3D2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3D21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R15-WRC15-C-0107!A24!MSW-F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F7990-787D-453D-85A1-09E199DEB70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2231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R15-WRC15-C-0107!A24!MSW-F</vt:lpstr>
    </vt:vector>
  </TitlesOfParts>
  <Manager>Secrétariat général - Pool</Manager>
  <Company>Union internationale des télécommunications (UIT)</Company>
  <LinksUpToDate>false</LinksUpToDate>
  <CharactersWithSpaces>14965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R15-WRC15-C-0107!A24!MSW-F</dc:title>
  <dc:subject>Conférence mondiale des radiocommunications - 2015</dc:subject>
  <dc:creator>Documents Proposals Manager (DPM)</dc:creator>
  <cp:keywords>DPM_v5.2015.10.230_prod</cp:keywords>
  <dc:description/>
  <cp:lastModifiedBy>Boureux, Carole</cp:lastModifiedBy>
  <cp:revision>14</cp:revision>
  <cp:lastPrinted>2015-10-28T10:34:00Z</cp:lastPrinted>
  <dcterms:created xsi:type="dcterms:W3CDTF">2015-10-28T10:07:00Z</dcterms:created>
  <dcterms:modified xsi:type="dcterms:W3CDTF">2015-10-28T19:55:00Z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