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6C6DF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C6DF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6C6DF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C6DF8" w:rsidRDefault="003E1608" w:rsidP="0004296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C6DF8">
              <w:rPr>
                <w:rFonts w:ascii="Verdana" w:hAnsi="Verdana"/>
                <w:rtl/>
              </w:rPr>
              <w:t xml:space="preserve">الإضافة </w:t>
            </w:r>
            <w:r w:rsidRPr="006C6DF8">
              <w:rPr>
                <w:rFonts w:ascii="Verdana" w:hAnsi="Verdana"/>
              </w:rPr>
              <w:t>1</w:t>
            </w:r>
            <w:r w:rsidRPr="006C6DF8">
              <w:rPr>
                <w:rFonts w:ascii="Verdana" w:hAnsi="Verdana"/>
              </w:rPr>
              <w:br/>
            </w:r>
            <w:r w:rsidRPr="006C6DF8">
              <w:rPr>
                <w:rFonts w:ascii="Verdana" w:hAnsi="Verdana"/>
                <w:rtl/>
              </w:rPr>
              <w:t xml:space="preserve">للوثيقة </w:t>
            </w:r>
            <w:r w:rsidR="00042969" w:rsidRPr="006C6DF8">
              <w:rPr>
                <w:rFonts w:ascii="Verdana" w:hAnsi="Verdana"/>
              </w:rPr>
              <w:t>107(Add.9)-A</w:t>
            </w:r>
          </w:p>
        </w:tc>
      </w:tr>
      <w:tr w:rsidR="00764079" w:rsidRPr="006C6DF8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C6DF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C6DF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C6DF8">
              <w:rPr>
                <w:rFonts w:ascii="Verdana" w:eastAsia="SimSun" w:hAnsi="Verdana"/>
              </w:rPr>
              <w:t>19</w:t>
            </w:r>
            <w:r w:rsidRPr="006C6DF8">
              <w:rPr>
                <w:rFonts w:ascii="Verdana" w:eastAsia="SimSun" w:hAnsi="Verdana"/>
                <w:rtl/>
              </w:rPr>
              <w:t xml:space="preserve"> أكتوبر </w:t>
            </w:r>
            <w:r w:rsidRPr="006C6DF8">
              <w:rPr>
                <w:rFonts w:ascii="Verdana" w:eastAsia="SimSun" w:hAnsi="Verdana"/>
              </w:rPr>
              <w:t>2015</w:t>
            </w:r>
          </w:p>
        </w:tc>
      </w:tr>
      <w:tr w:rsidR="00764079" w:rsidRPr="006C6DF8" w:rsidTr="003E1608">
        <w:trPr>
          <w:cantSplit/>
        </w:trPr>
        <w:tc>
          <w:tcPr>
            <w:tcW w:w="6619" w:type="dxa"/>
          </w:tcPr>
          <w:p w:rsidR="00764079" w:rsidRPr="006C6DF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C6DF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6C6DF8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الهند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4296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Pr="00042969">
              <w:rPr>
                <w:rFonts w:asciiTheme="majorBidi" w:hAnsiTheme="majorBidi" w:cstheme="majorBidi"/>
                <w:szCs w:val="28"/>
                <w:rtl/>
              </w:rPr>
              <w:t>1.9.1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F2C78" w:rsidP="0004296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Default="00EF2C78" w:rsidP="001D597A">
      <w:pPr>
        <w:rPr>
          <w:rFonts w:eastAsia="SimSun"/>
          <w:rtl/>
        </w:rPr>
      </w:pPr>
      <w:r w:rsidRPr="00431196">
        <w:rPr>
          <w:rFonts w:eastAsia="SimSun"/>
        </w:rPr>
        <w:t>1.9.1</w:t>
      </w:r>
      <w:r w:rsidRPr="00431196">
        <w:rPr>
          <w:rFonts w:eastAsia="SimSun" w:hint="cs"/>
          <w:rtl/>
        </w:rPr>
        <w:tab/>
        <w:t xml:space="preserve">إمكانية منح توزيعات جديدة للخدمة الثابتة الساتلية في نطاقي الترددات </w:t>
      </w:r>
      <w:r w:rsidRPr="00431196">
        <w:rPr>
          <w:rFonts w:eastAsia="SimSun"/>
        </w:rPr>
        <w:t>MHz 7 250</w:t>
      </w:r>
      <w:r w:rsidRPr="00431196">
        <w:rPr>
          <w:rFonts w:eastAsia="SimSun"/>
        </w:rPr>
        <w:noBreakHyphen/>
        <w:t>7 150</w:t>
      </w:r>
      <w:r w:rsidRPr="00431196">
        <w:rPr>
          <w:rFonts w:eastAsia="SimSun" w:hint="cs"/>
          <w:rtl/>
        </w:rPr>
        <w:t xml:space="preserve"> (فضاء-أرض) و</w:t>
      </w:r>
      <w:r w:rsidRPr="00431196">
        <w:rPr>
          <w:rFonts w:eastAsia="SimSun"/>
        </w:rPr>
        <w:t>MHz 8 500</w:t>
      </w:r>
      <w:r w:rsidRPr="00431196">
        <w:rPr>
          <w:rFonts w:eastAsia="SimSun"/>
        </w:rPr>
        <w:noBreakHyphen/>
        <w:t>8 400</w:t>
      </w:r>
      <w:r w:rsidRPr="00431196">
        <w:rPr>
          <w:rFonts w:eastAsia="SimSun" w:hint="cs"/>
          <w:rtl/>
        </w:rPr>
        <w:t xml:space="preserve"> (أرض-فضاء) رهناً بشروط التقاسم المناسبة؛</w:t>
      </w:r>
    </w:p>
    <w:p w:rsidR="00042969" w:rsidRDefault="00042969" w:rsidP="00042969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مقدمة</w:t>
      </w:r>
    </w:p>
    <w:p w:rsidR="00042969" w:rsidRDefault="00456265" w:rsidP="00595579">
      <w:pPr>
        <w:rPr>
          <w:rFonts w:eastAsia="SimSun"/>
          <w:rtl/>
          <w:lang w:bidi="ar-EG"/>
        </w:rPr>
      </w:pPr>
      <w:r>
        <w:rPr>
          <w:rFonts w:eastAsia="SimSun" w:hint="cs"/>
          <w:rtl/>
        </w:rPr>
        <w:t>تولي إدارة الهند أهمية كبيرة</w:t>
      </w:r>
      <w:r w:rsidRPr="00456265">
        <w:rPr>
          <w:rtl/>
        </w:rPr>
        <w:t xml:space="preserve"> </w:t>
      </w:r>
      <w:r>
        <w:rPr>
          <w:rFonts w:eastAsia="SimSun" w:hint="cs"/>
          <w:rtl/>
          <w:lang w:bidi="ar-EG"/>
        </w:rPr>
        <w:t>ل</w:t>
      </w:r>
      <w:r w:rsidRPr="00456265">
        <w:rPr>
          <w:rFonts w:eastAsia="SimSun"/>
          <w:rtl/>
          <w:lang w:bidi="ar-EG"/>
        </w:rPr>
        <w:t>خدمة الأبحاث الفضائية</w:t>
      </w:r>
      <w:r>
        <w:rPr>
          <w:rFonts w:eastAsia="SimSun" w:hint="cs"/>
          <w:rtl/>
          <w:lang w:bidi="ar-EG"/>
        </w:rPr>
        <w:t xml:space="preserve">، بما في ذلك </w:t>
      </w:r>
      <w:r w:rsidRPr="00456265">
        <w:rPr>
          <w:rFonts w:eastAsia="SimSun"/>
          <w:rtl/>
          <w:lang w:bidi="ar-EG"/>
        </w:rPr>
        <w:t>أبحاث الفضاء السحيق</w:t>
      </w:r>
      <w:r>
        <w:rPr>
          <w:rFonts w:eastAsia="SimSun" w:hint="cs"/>
          <w:rtl/>
          <w:lang w:bidi="ar-EG"/>
        </w:rPr>
        <w:t>. وأظهرت الدراسات أن التعايش صعب بين الخدمة الثابتة الساتلية (فضاء-أرض) و</w:t>
      </w:r>
      <w:r w:rsidRPr="00456265">
        <w:rPr>
          <w:rFonts w:eastAsia="SimSun"/>
          <w:rtl/>
          <w:lang w:bidi="ar-EG"/>
        </w:rPr>
        <w:t>خدمة الأبحاث الفضائية</w:t>
      </w:r>
      <w:r>
        <w:rPr>
          <w:rFonts w:eastAsia="SimSun" w:hint="cs"/>
          <w:rtl/>
          <w:lang w:bidi="ar-EG"/>
        </w:rPr>
        <w:t xml:space="preserve"> (أرض-فضاء)، وخاصة خدمة الأبحاث الفضائية في الفضاء السحيق في النطاق </w:t>
      </w:r>
      <w:r>
        <w:rPr>
          <w:rFonts w:eastAsia="SimSun"/>
          <w:lang w:bidi="ar-EG"/>
        </w:rPr>
        <w:t>MHz 7 190</w:t>
      </w:r>
      <w:r>
        <w:rPr>
          <w:rFonts w:eastAsia="SimSun"/>
          <w:lang w:bidi="ar-EG"/>
        </w:rPr>
        <w:noBreakHyphen/>
        <w:t>7 145</w:t>
      </w:r>
      <w:r>
        <w:rPr>
          <w:rFonts w:eastAsia="SimSun" w:hint="cs"/>
          <w:rtl/>
          <w:lang w:bidi="ar-EG"/>
        </w:rPr>
        <w:t xml:space="preserve"> خلال المر</w:t>
      </w:r>
      <w:r w:rsidR="00595579">
        <w:rPr>
          <w:rFonts w:eastAsia="SimSun" w:hint="cs"/>
          <w:rtl/>
          <w:lang w:bidi="ar-EG"/>
        </w:rPr>
        <w:t>ا</w:t>
      </w:r>
      <w:r>
        <w:rPr>
          <w:rFonts w:eastAsia="SimSun" w:hint="cs"/>
          <w:rtl/>
          <w:lang w:bidi="ar-EG"/>
        </w:rPr>
        <w:t xml:space="preserve">حل ’القريبة من الأرض‘ من الرحلات وقد تتلقى رحلات خدمة الأبحاث الفضائية تداخلاً غير مقبول إذا جاءت المركبة الفضائية لخدمة الأبحاث الفضائية على مسافات قريبة محددة من </w:t>
      </w:r>
      <w:r w:rsidR="00595579">
        <w:rPr>
          <w:rFonts w:eastAsia="SimSun" w:hint="cs"/>
          <w:rtl/>
          <w:lang w:bidi="ar-EG"/>
        </w:rPr>
        <w:t>المدار</w:t>
      </w:r>
      <w:bookmarkStart w:id="1" w:name="_GoBack"/>
      <w:bookmarkEnd w:id="1"/>
      <w:r>
        <w:rPr>
          <w:rFonts w:eastAsia="SimSun" w:hint="cs"/>
          <w:rtl/>
          <w:lang w:bidi="ar-EG"/>
        </w:rPr>
        <w:t xml:space="preserve"> المستقر بالنسبة إلى الأرض.</w:t>
      </w:r>
    </w:p>
    <w:p w:rsidR="00F16602" w:rsidRDefault="00456265" w:rsidP="00456265">
      <w:pPr>
        <w:rPr>
          <w:rtl/>
        </w:rPr>
      </w:pPr>
      <w:r>
        <w:rPr>
          <w:rFonts w:eastAsia="SimSun" w:hint="cs"/>
          <w:rtl/>
          <w:lang w:bidi="ar-EG"/>
        </w:rPr>
        <w:t xml:space="preserve">وفي ضوء ذلك، تقترح إدارة الهند </w:t>
      </w:r>
      <w:r w:rsidR="00042969" w:rsidRPr="00042969">
        <w:rPr>
          <w:rFonts w:hint="cs"/>
          <w:rtl/>
          <w:lang w:bidi="ar-EG"/>
        </w:rPr>
        <w:t>عدم إدخال تعديلات على لوائح الراديو</w:t>
      </w:r>
      <w:r>
        <w:rPr>
          <w:rFonts w:hint="cs"/>
          <w:rtl/>
          <w:lang w:bidi="ar-EG"/>
        </w:rPr>
        <w:t xml:space="preserve">، بما يتماشى مع الأسلوب </w:t>
      </w:r>
      <w:r>
        <w:rPr>
          <w:lang w:bidi="ar-EG"/>
        </w:rPr>
        <w:t>C</w:t>
      </w:r>
      <w:r>
        <w:rPr>
          <w:rFonts w:hint="cs"/>
          <w:rtl/>
          <w:lang w:bidi="ar-EG"/>
        </w:rPr>
        <w:t xml:space="preserve"> من تقرير الاجتماع التحضيري للمؤتمر إلى المؤتمر </w:t>
      </w:r>
      <w:r>
        <w:rPr>
          <w:lang w:bidi="ar-EG"/>
        </w:rPr>
        <w:t>WRC</w:t>
      </w:r>
      <w:r>
        <w:rPr>
          <w:lang w:bidi="ar-EG"/>
        </w:rPr>
        <w:noBreakHyphen/>
        <w:t>15</w:t>
      </w:r>
      <w:r>
        <w:rPr>
          <w:rFonts w:hint="cs"/>
          <w:rtl/>
          <w:lang w:bidi="ar-EG"/>
        </w:rPr>
        <w:t>،</w:t>
      </w:r>
      <w:r w:rsidR="00042969" w:rsidRPr="00042969">
        <w:rPr>
          <w:rFonts w:hint="cs"/>
          <w:rtl/>
          <w:lang w:bidi="ar-EG"/>
        </w:rPr>
        <w:t xml:space="preserve"> فيما يتعلق ب</w:t>
      </w:r>
      <w:r w:rsidR="00042969" w:rsidRPr="00042969">
        <w:rPr>
          <w:rFonts w:hint="cs"/>
          <w:rtl/>
        </w:rPr>
        <w:t>إمكانية منح توزيعات جديدة للخدمة الثابتة الساتلية في نطاقي الترددات</w:t>
      </w:r>
      <w:r w:rsidR="00042969" w:rsidRPr="00042969">
        <w:rPr>
          <w:rFonts w:hint="eastAsia"/>
          <w:rtl/>
        </w:rPr>
        <w:t> </w:t>
      </w:r>
      <w:r w:rsidR="00042969" w:rsidRPr="00042969">
        <w:t>MHz 7 250</w:t>
      </w:r>
      <w:r w:rsidR="00042969" w:rsidRPr="00042969">
        <w:noBreakHyphen/>
        <w:t>7 150</w:t>
      </w:r>
      <w:r w:rsidR="00042969" w:rsidRPr="00042969">
        <w:rPr>
          <w:rFonts w:hint="cs"/>
          <w:rtl/>
        </w:rPr>
        <w:t xml:space="preserve"> (فضاء-أرض) و</w:t>
      </w:r>
      <w:r w:rsidR="00042969" w:rsidRPr="00042969">
        <w:t>MHz 8 500</w:t>
      </w:r>
      <w:r w:rsidR="00042969" w:rsidRPr="00042969">
        <w:noBreakHyphen/>
        <w:t>8 400</w:t>
      </w:r>
      <w:r w:rsidR="00042969" w:rsidRPr="00042969">
        <w:rPr>
          <w:rFonts w:hint="cs"/>
          <w:rtl/>
        </w:rPr>
        <w:t xml:space="preserve"> (أرض-فضاء) وفقاً للقرار</w:t>
      </w:r>
      <w:r w:rsidR="008D2010">
        <w:rPr>
          <w:rFonts w:hint="eastAsia"/>
          <w:rtl/>
        </w:rPr>
        <w:t> </w:t>
      </w:r>
      <w:r w:rsidR="00042969" w:rsidRPr="00042969">
        <w:t>758 (WRC</w:t>
      </w:r>
      <w:r w:rsidR="00042969" w:rsidRPr="00042969">
        <w:noBreakHyphen/>
        <w:t>12)</w:t>
      </w:r>
      <w:r w:rsidR="00042969" w:rsidRPr="00042969">
        <w:rPr>
          <w:rFonts w:hint="cs"/>
          <w:rtl/>
        </w:rPr>
        <w:t>.</w:t>
      </w:r>
    </w:p>
    <w:p w:rsidR="00042969" w:rsidRDefault="00042969" w:rsidP="00B61BD0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B61BD0" w:rsidRDefault="00B61BD0" w:rsidP="00711C2E">
      <w:pPr>
        <w:pStyle w:val="ArtNo"/>
        <w:rPr>
          <w:rtl/>
        </w:rPr>
      </w:pPr>
      <w:r>
        <w:rPr>
          <w:rtl/>
        </w:rPr>
        <w:br w:type="page"/>
      </w:r>
    </w:p>
    <w:p w:rsidR="009F37C9" w:rsidRDefault="00EF2C78" w:rsidP="00711C2E">
      <w:pPr>
        <w:pStyle w:val="ArtNo"/>
        <w:rPr>
          <w:noProof/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F2C78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EF2C7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052039" w:rsidRDefault="00EF2C78">
      <w:pPr>
        <w:pStyle w:val="Proposal"/>
      </w:pPr>
      <w:r>
        <w:rPr>
          <w:u w:val="single"/>
        </w:rPr>
        <w:t>NOC</w:t>
      </w:r>
      <w:r>
        <w:tab/>
        <w:t>IND/107A9A1/1</w:t>
      </w:r>
    </w:p>
    <w:p w:rsidR="009F37C9" w:rsidRPr="002F7F63" w:rsidRDefault="00EF2C78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B34B5" w:rsidRPr="00B61BD0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Pr="00B61BD0" w:rsidRDefault="00EF2C78" w:rsidP="00EB34B5">
            <w:pPr>
              <w:pStyle w:val="Tablehead"/>
              <w:keepNext/>
              <w:keepLines/>
              <w:rPr>
                <w:rFonts w:ascii="Times New Roman" w:hAnsi="Times New Roman"/>
              </w:rPr>
            </w:pPr>
            <w:r w:rsidRPr="00B61BD0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EB34B5" w:rsidRPr="00B61BD0" w:rsidTr="00B87AF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Pr="00B61BD0" w:rsidRDefault="00EF2C78" w:rsidP="00EB34B5">
            <w:pPr>
              <w:pStyle w:val="Tablehead"/>
              <w:keepNext/>
              <w:keepLines/>
              <w:rPr>
                <w:rFonts w:ascii="Times New Roman" w:hAnsi="Times New Roman"/>
              </w:rPr>
            </w:pPr>
            <w:r w:rsidRPr="00B61BD0">
              <w:rPr>
                <w:rFonts w:ascii="Times New Roman" w:hAnsi="Times New Roman"/>
                <w:rtl/>
              </w:rPr>
              <w:t xml:space="preserve">الإقليم </w:t>
            </w:r>
            <w:r w:rsidRPr="00B61BD0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Pr="00B61BD0" w:rsidRDefault="00EF2C78" w:rsidP="00EB34B5">
            <w:pPr>
              <w:pStyle w:val="Tablehead"/>
              <w:keepNext/>
              <w:keepLines/>
              <w:rPr>
                <w:rFonts w:ascii="Times New Roman" w:hAnsi="Times New Roman"/>
              </w:rPr>
            </w:pPr>
            <w:r w:rsidRPr="00B61BD0">
              <w:rPr>
                <w:rFonts w:ascii="Times New Roman" w:hAnsi="Times New Roman"/>
                <w:rtl/>
              </w:rPr>
              <w:t xml:space="preserve">الإقليم </w:t>
            </w:r>
            <w:r w:rsidRPr="00B61BD0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Pr="00B61BD0" w:rsidRDefault="00EF2C78" w:rsidP="00EB34B5">
            <w:pPr>
              <w:pStyle w:val="Tablehead"/>
              <w:keepNext/>
              <w:keepLines/>
              <w:rPr>
                <w:rFonts w:ascii="Times New Roman" w:hAnsi="Times New Roman"/>
              </w:rPr>
            </w:pPr>
            <w:r w:rsidRPr="00B61BD0">
              <w:rPr>
                <w:rFonts w:ascii="Times New Roman" w:hAnsi="Times New Roman"/>
                <w:rtl/>
              </w:rPr>
              <w:t xml:space="preserve">الإقليم </w:t>
            </w:r>
            <w:r w:rsidRPr="00B61BD0">
              <w:rPr>
                <w:rFonts w:ascii="Times New Roman" w:hAnsi="Times New Roman"/>
              </w:rPr>
              <w:t>3</w:t>
            </w:r>
          </w:p>
        </w:tc>
      </w:tr>
      <w:tr w:rsidR="00EB34B5" w:rsidRPr="00B61BD0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Pr="00B61BD0" w:rsidRDefault="00EF2C78" w:rsidP="00B61BD0">
            <w:pPr>
              <w:pStyle w:val="TabletextS5"/>
            </w:pPr>
            <w:r w:rsidRPr="00B61BD0">
              <w:rPr>
                <w:rStyle w:val="Tablefreq"/>
                <w:rFonts w:ascii="Times New Roman" w:hAnsi="Times New Roman"/>
              </w:rPr>
              <w:t>7 235-7 145</w:t>
            </w:r>
            <w:r w:rsidRPr="00B61BD0">
              <w:tab/>
            </w:r>
            <w:r w:rsidRPr="002E6908">
              <w:rPr>
                <w:b/>
                <w:bCs/>
                <w:rtl/>
              </w:rPr>
              <w:t>ثابتة</w:t>
            </w:r>
          </w:p>
          <w:p w:rsidR="00EB34B5" w:rsidRPr="002E6908" w:rsidRDefault="00EF2C78" w:rsidP="00B61BD0">
            <w:pPr>
              <w:pStyle w:val="TabletextS5"/>
              <w:rPr>
                <w:b/>
                <w:bCs/>
                <w:rtl/>
              </w:rPr>
            </w:pPr>
            <w:r w:rsidRPr="00B61BD0">
              <w:tab/>
            </w:r>
            <w:r w:rsidRPr="002E6908">
              <w:rPr>
                <w:b/>
                <w:bCs/>
                <w:rtl/>
              </w:rPr>
              <w:t>متنقلة</w:t>
            </w:r>
          </w:p>
          <w:p w:rsidR="00EB34B5" w:rsidRPr="00B61BD0" w:rsidRDefault="00EF2C78" w:rsidP="00B61BD0">
            <w:pPr>
              <w:pStyle w:val="TabletextS5"/>
            </w:pPr>
            <w:r w:rsidRPr="00B61BD0">
              <w:rPr>
                <w:rtl/>
              </w:rPr>
              <w:tab/>
            </w:r>
            <w:r w:rsidRPr="00563EF5">
              <w:rPr>
                <w:b/>
                <w:bCs/>
                <w:rtl/>
              </w:rPr>
              <w:t>أبحاث فضائية</w:t>
            </w:r>
            <w:r w:rsidRPr="00B61BD0">
              <w:rPr>
                <w:rtl/>
              </w:rPr>
              <w:t xml:space="preserve"> (أرض-فضاء)</w:t>
            </w:r>
            <w:r w:rsidRPr="00B61BD0">
              <w:rPr>
                <w:rStyle w:val="Artref"/>
                <w:b w:val="0"/>
                <w:bCs w:val="0"/>
              </w:rPr>
              <w:t xml:space="preserve">460.5  </w:t>
            </w:r>
          </w:p>
          <w:p w:rsidR="00EB34B5" w:rsidRPr="00B61BD0" w:rsidRDefault="00EF2C78" w:rsidP="00B61BD0">
            <w:pPr>
              <w:pStyle w:val="TabletextS5"/>
              <w:rPr>
                <w:rStyle w:val="Tablefreq"/>
                <w:rFonts w:ascii="Times New Roman" w:hAnsi="Times New Roman"/>
                <w:rtl/>
              </w:rPr>
            </w:pPr>
            <w:r w:rsidRPr="00B61BD0">
              <w:tab/>
            </w:r>
            <w:r w:rsidRPr="00B61BD0">
              <w:rPr>
                <w:rStyle w:val="Artref"/>
                <w:b w:val="0"/>
                <w:bCs w:val="0"/>
              </w:rPr>
              <w:t>458.5</w:t>
            </w:r>
            <w:r w:rsidRPr="00B61BD0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61BD0">
              <w:rPr>
                <w:rStyle w:val="Artref"/>
                <w:b w:val="0"/>
                <w:bCs w:val="0"/>
              </w:rPr>
              <w:t>459.5</w:t>
            </w:r>
          </w:p>
        </w:tc>
      </w:tr>
      <w:tr w:rsidR="00EB34B5" w:rsidRPr="00B61BD0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Pr="00B61BD0" w:rsidRDefault="00EF2C78" w:rsidP="00B61BD0">
            <w:pPr>
              <w:pStyle w:val="TabletextS5"/>
            </w:pPr>
            <w:r w:rsidRPr="00B61BD0">
              <w:rPr>
                <w:rStyle w:val="Tablefreq"/>
                <w:rFonts w:ascii="Times New Roman" w:hAnsi="Times New Roman"/>
              </w:rPr>
              <w:t>7 250-7 235</w:t>
            </w:r>
            <w:r w:rsidRPr="00B61BD0">
              <w:tab/>
            </w:r>
            <w:r w:rsidRPr="00563EF5">
              <w:rPr>
                <w:b/>
                <w:bCs/>
                <w:rtl/>
              </w:rPr>
              <w:t>ثابتة</w:t>
            </w:r>
          </w:p>
          <w:p w:rsidR="00EB34B5" w:rsidRPr="00563EF5" w:rsidRDefault="00EF2C78" w:rsidP="00B61BD0">
            <w:pPr>
              <w:pStyle w:val="TabletextS5"/>
              <w:rPr>
                <w:b/>
                <w:bCs/>
              </w:rPr>
            </w:pPr>
            <w:r w:rsidRPr="00B61BD0">
              <w:tab/>
            </w:r>
            <w:r w:rsidRPr="00563EF5">
              <w:rPr>
                <w:b/>
                <w:bCs/>
                <w:rtl/>
              </w:rPr>
              <w:t>متنقلة</w:t>
            </w:r>
          </w:p>
          <w:p w:rsidR="00EB34B5" w:rsidRPr="00B61BD0" w:rsidRDefault="00EF2C78" w:rsidP="00B61BD0">
            <w:pPr>
              <w:pStyle w:val="TabletextS5"/>
              <w:rPr>
                <w:rStyle w:val="Tablefreq"/>
                <w:rFonts w:ascii="Times New Roman" w:hAnsi="Times New Roman"/>
              </w:rPr>
            </w:pPr>
            <w:r w:rsidRPr="00B61BD0">
              <w:tab/>
            </w:r>
            <w:r w:rsidRPr="00B61BD0">
              <w:rPr>
                <w:rStyle w:val="Artref"/>
                <w:b w:val="0"/>
                <w:bCs w:val="0"/>
              </w:rPr>
              <w:t>458.5</w:t>
            </w:r>
          </w:p>
        </w:tc>
      </w:tr>
    </w:tbl>
    <w:p w:rsidR="00052039" w:rsidRDefault="00EF2C78" w:rsidP="008E0E2E">
      <w:pPr>
        <w:pStyle w:val="Reasons"/>
      </w:pPr>
      <w:r w:rsidRPr="008E0E2E">
        <w:rPr>
          <w:rtl/>
        </w:rPr>
        <w:t>الأسباب:</w:t>
      </w:r>
      <w:r w:rsidR="000F308F" w:rsidRPr="008E0E2E">
        <w:rPr>
          <w:rFonts w:hint="cs"/>
          <w:rtl/>
        </w:rPr>
        <w:t xml:space="preserve"> </w:t>
      </w:r>
      <w:r w:rsidR="008E0E2E">
        <w:rPr>
          <w:rFonts w:hint="cs"/>
          <w:b w:val="0"/>
          <w:bCs w:val="0"/>
          <w:rtl/>
        </w:rPr>
        <w:t>لا يوجد تغيير</w:t>
      </w:r>
      <w:r w:rsidR="008E0E2E">
        <w:rPr>
          <w:rFonts w:hint="cs"/>
          <w:rtl/>
        </w:rPr>
        <w:t>.</w:t>
      </w:r>
      <w:r>
        <w:tab/>
      </w:r>
    </w:p>
    <w:p w:rsidR="00052039" w:rsidRDefault="00EF2C78">
      <w:pPr>
        <w:pStyle w:val="Proposal"/>
      </w:pPr>
      <w:r>
        <w:rPr>
          <w:u w:val="single"/>
        </w:rPr>
        <w:t>NOC</w:t>
      </w:r>
      <w:r>
        <w:tab/>
        <w:t>IND/107A9A1/2</w:t>
      </w:r>
    </w:p>
    <w:p w:rsidR="009F37C9" w:rsidRDefault="00EF2C78">
      <w:pPr>
        <w:pStyle w:val="Tabletitle"/>
        <w:rPr>
          <w:rtl/>
        </w:rPr>
        <w:pPrChange w:id="4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RPr="00B61BD0" w:rsidTr="00475D0D">
        <w:trPr>
          <w:cantSplit/>
        </w:trPr>
        <w:tc>
          <w:tcPr>
            <w:tcW w:w="9356" w:type="dxa"/>
            <w:gridSpan w:val="3"/>
          </w:tcPr>
          <w:p w:rsidR="00475D0D" w:rsidRPr="00B61BD0" w:rsidRDefault="00EF2C78" w:rsidP="005F1F1C">
            <w:pPr>
              <w:pStyle w:val="Tablehead"/>
              <w:rPr>
                <w:rFonts w:ascii="Times New Roman" w:hAnsi="Times New Roman"/>
              </w:rPr>
            </w:pPr>
            <w:r w:rsidRPr="00B61BD0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475D0D" w:rsidRPr="00B61BD0" w:rsidTr="00475D0D">
        <w:trPr>
          <w:cantSplit/>
        </w:trPr>
        <w:tc>
          <w:tcPr>
            <w:tcW w:w="3119" w:type="dxa"/>
          </w:tcPr>
          <w:p w:rsidR="00475D0D" w:rsidRPr="00B61BD0" w:rsidRDefault="00EF2C78" w:rsidP="005F1F1C">
            <w:pPr>
              <w:pStyle w:val="Tablehead"/>
              <w:rPr>
                <w:rFonts w:ascii="Times New Roman" w:hAnsi="Times New Roman"/>
              </w:rPr>
            </w:pPr>
            <w:r w:rsidRPr="00B61BD0">
              <w:rPr>
                <w:rFonts w:ascii="Times New Roman" w:hAnsi="Times New Roman"/>
                <w:rtl/>
              </w:rPr>
              <w:t xml:space="preserve">الإقليم </w:t>
            </w:r>
            <w:r w:rsidRPr="00B61BD0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475D0D" w:rsidRPr="00B61BD0" w:rsidRDefault="00EF2C78" w:rsidP="005F1F1C">
            <w:pPr>
              <w:pStyle w:val="Tablehead"/>
              <w:rPr>
                <w:rFonts w:ascii="Times New Roman" w:hAnsi="Times New Roman"/>
              </w:rPr>
            </w:pPr>
            <w:r w:rsidRPr="00B61BD0">
              <w:rPr>
                <w:rFonts w:ascii="Times New Roman" w:hAnsi="Times New Roman"/>
                <w:rtl/>
              </w:rPr>
              <w:t xml:space="preserve">الإقليم </w:t>
            </w:r>
            <w:r w:rsidRPr="00B61BD0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475D0D" w:rsidRPr="00B61BD0" w:rsidRDefault="00EF2C78" w:rsidP="005F1F1C">
            <w:pPr>
              <w:pStyle w:val="Tablehead"/>
              <w:rPr>
                <w:rFonts w:ascii="Times New Roman" w:hAnsi="Times New Roman"/>
              </w:rPr>
            </w:pPr>
            <w:r w:rsidRPr="00B61BD0">
              <w:rPr>
                <w:rFonts w:ascii="Times New Roman" w:hAnsi="Times New Roman"/>
                <w:rtl/>
              </w:rPr>
              <w:t xml:space="preserve">الإقليم </w:t>
            </w:r>
            <w:r w:rsidRPr="00B61BD0">
              <w:rPr>
                <w:rFonts w:ascii="Times New Roman" w:hAnsi="Times New Roman"/>
              </w:rPr>
              <w:t>3</w:t>
            </w:r>
          </w:p>
        </w:tc>
      </w:tr>
      <w:tr w:rsidR="00475D0D" w:rsidRPr="00B61BD0" w:rsidTr="00475D0D">
        <w:trPr>
          <w:cantSplit/>
        </w:trPr>
        <w:tc>
          <w:tcPr>
            <w:tcW w:w="9356" w:type="dxa"/>
            <w:gridSpan w:val="3"/>
          </w:tcPr>
          <w:p w:rsidR="00475D0D" w:rsidRPr="00B61BD0" w:rsidRDefault="00EF2C78" w:rsidP="00B61BD0">
            <w:pPr>
              <w:pStyle w:val="TabletextS5"/>
            </w:pPr>
            <w:r w:rsidRPr="00B61BD0">
              <w:rPr>
                <w:rStyle w:val="Tablefreq"/>
                <w:rFonts w:ascii="Times New Roman" w:hAnsi="Times New Roman"/>
              </w:rPr>
              <w:t>8 500-8 400</w:t>
            </w:r>
            <w:r w:rsidRPr="00B61BD0">
              <w:tab/>
            </w:r>
            <w:r w:rsidRPr="00563EF5">
              <w:rPr>
                <w:b/>
                <w:bCs/>
                <w:rtl/>
              </w:rPr>
              <w:t>ثابتة</w:t>
            </w:r>
            <w:r w:rsidRPr="00B61BD0">
              <w:rPr>
                <w:rtl/>
              </w:rPr>
              <w:t xml:space="preserve"> </w:t>
            </w:r>
          </w:p>
          <w:p w:rsidR="00475D0D" w:rsidRPr="00B61BD0" w:rsidRDefault="00EF2C78" w:rsidP="00B61BD0">
            <w:pPr>
              <w:pStyle w:val="TabletextS5"/>
            </w:pPr>
            <w:r w:rsidRPr="00B61BD0">
              <w:tab/>
            </w:r>
            <w:r w:rsidRPr="00563EF5">
              <w:rPr>
                <w:b/>
                <w:bCs/>
                <w:rtl/>
              </w:rPr>
              <w:t>متنقلة</w:t>
            </w:r>
            <w:r w:rsidRPr="00B61BD0">
              <w:rPr>
                <w:rtl/>
              </w:rPr>
              <w:t xml:space="preserve"> باستثناء المتنقلة للطيران</w:t>
            </w:r>
          </w:p>
          <w:p w:rsidR="00475D0D" w:rsidRPr="00B61BD0" w:rsidRDefault="00EF2C78" w:rsidP="00B61BD0">
            <w:pPr>
              <w:pStyle w:val="TabletextS5"/>
              <w:rPr>
                <w:rtl/>
              </w:rPr>
            </w:pPr>
            <w:r w:rsidRPr="00B61BD0">
              <w:tab/>
            </w:r>
            <w:r w:rsidRPr="00563EF5">
              <w:rPr>
                <w:b/>
                <w:bCs/>
                <w:rtl/>
              </w:rPr>
              <w:t>أبحاث فضائية</w:t>
            </w:r>
            <w:r w:rsidRPr="00B61BD0">
              <w:rPr>
                <w:rtl/>
              </w:rPr>
              <w:t xml:space="preserve">  (فضاء-أرض)</w:t>
            </w:r>
            <w:r w:rsidRPr="00B61BD0">
              <w:rPr>
                <w:rFonts w:hint="cs"/>
                <w:rtl/>
              </w:rPr>
              <w:t xml:space="preserve"> </w:t>
            </w:r>
            <w:r w:rsidRPr="00B61BD0">
              <w:rPr>
                <w:rtl/>
              </w:rPr>
              <w:t xml:space="preserve"> </w:t>
            </w:r>
            <w:r w:rsidRPr="00B61BD0">
              <w:t>465.5</w:t>
            </w:r>
            <w:r w:rsidRPr="00B61BD0">
              <w:rPr>
                <w:rtl/>
              </w:rPr>
              <w:t xml:space="preserve">  </w:t>
            </w:r>
            <w:r w:rsidRPr="00B61BD0">
              <w:t>466.5</w:t>
            </w:r>
          </w:p>
        </w:tc>
      </w:tr>
    </w:tbl>
    <w:p w:rsidR="00052039" w:rsidRDefault="00EF2C78" w:rsidP="008E0E2E">
      <w:pPr>
        <w:pStyle w:val="Reasons"/>
      </w:pPr>
      <w:r w:rsidRPr="008E0E2E">
        <w:rPr>
          <w:rtl/>
        </w:rPr>
        <w:t>الأسباب:</w:t>
      </w:r>
      <w:r w:rsidR="000F308F" w:rsidRPr="008E0E2E">
        <w:rPr>
          <w:rFonts w:hint="cs"/>
          <w:rtl/>
        </w:rPr>
        <w:t xml:space="preserve"> </w:t>
      </w:r>
      <w:r w:rsidR="008E0E2E">
        <w:rPr>
          <w:rFonts w:hint="cs"/>
          <w:b w:val="0"/>
          <w:bCs w:val="0"/>
          <w:rtl/>
        </w:rPr>
        <w:t>لا يوجد تغيير</w:t>
      </w:r>
      <w:r w:rsidR="008E0E2E">
        <w:rPr>
          <w:rFonts w:hint="cs"/>
          <w:rtl/>
        </w:rPr>
        <w:t>.</w:t>
      </w:r>
      <w:r>
        <w:tab/>
      </w:r>
    </w:p>
    <w:p w:rsidR="00052039" w:rsidRDefault="00EF2C78">
      <w:pPr>
        <w:pStyle w:val="Proposal"/>
      </w:pPr>
      <w:r>
        <w:t>SUP</w:t>
      </w:r>
      <w:r>
        <w:tab/>
        <w:t>IND/107A9A1/3</w:t>
      </w:r>
    </w:p>
    <w:p w:rsidR="00D053B6" w:rsidRPr="00F555FE" w:rsidRDefault="00EF2C78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5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5"/>
    </w:p>
    <w:p w:rsidR="00D053B6" w:rsidRDefault="00EF2C78" w:rsidP="000F308F">
      <w:pPr>
        <w:pStyle w:val="Restitle"/>
        <w:spacing w:line="185" w:lineRule="auto"/>
        <w:rPr>
          <w:rtl/>
        </w:rPr>
      </w:pPr>
      <w:bookmarkStart w:id="6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6"/>
    </w:p>
    <w:p w:rsidR="00052039" w:rsidRDefault="00EF2C78" w:rsidP="00EB0225">
      <w:pPr>
        <w:pStyle w:val="Reasons"/>
        <w:rPr>
          <w:rtl/>
        </w:rPr>
      </w:pPr>
      <w:r w:rsidRPr="008E0E2E">
        <w:rPr>
          <w:rtl/>
        </w:rPr>
        <w:t>الأسباب:</w:t>
      </w:r>
      <w:r w:rsidR="000F308F" w:rsidRPr="008E0E2E">
        <w:rPr>
          <w:rFonts w:hint="cs"/>
          <w:rtl/>
        </w:rPr>
        <w:t xml:space="preserve"> </w:t>
      </w:r>
      <w:r w:rsidR="00EB0225" w:rsidRPr="008E0E2E">
        <w:rPr>
          <w:rFonts w:hint="cs"/>
          <w:b w:val="0"/>
          <w:bCs w:val="0"/>
          <w:rtl/>
        </w:rPr>
        <w:t>لم يعد هناك حاجة للقرار.</w:t>
      </w:r>
    </w:p>
    <w:p w:rsidR="000F308F" w:rsidRPr="000F308F" w:rsidRDefault="00EF2C78" w:rsidP="00EF2C78">
      <w:pPr>
        <w:spacing w:before="600"/>
        <w:jc w:val="center"/>
        <w:rPr>
          <w:highlight w:val="yellow"/>
        </w:rPr>
      </w:pPr>
      <w:r w:rsidRPr="00EB0225">
        <w:rPr>
          <w:rFonts w:hint="cs"/>
          <w:rtl/>
        </w:rPr>
        <w:t>___________</w:t>
      </w:r>
    </w:p>
    <w:sectPr w:rsidR="000F308F" w:rsidRPr="000F308F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42969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A4702">
      <w:rPr>
        <w:noProof/>
        <w:lang w:val="es-ES"/>
      </w:rPr>
      <w:t>P:\ARA\ITU-R\CONF-R\CMR15\100\107ADD09ADD01A.docx</w:t>
    </w:r>
    <w:r w:rsidRPr="00CB4300">
      <w:fldChar w:fldCharType="end"/>
    </w:r>
    <w:r w:rsidRPr="00CB4300">
      <w:rPr>
        <w:lang w:val="es-ES"/>
      </w:rPr>
      <w:t xml:space="preserve">  (</w:t>
    </w:r>
    <w:r w:rsidR="00042969">
      <w:rPr>
        <w:lang w:val="es-ES"/>
      </w:rPr>
      <w:t>388842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95579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4296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A4702">
      <w:rPr>
        <w:noProof/>
        <w:lang w:val="es-ES"/>
      </w:rPr>
      <w:t>P:\ARA\ITU-R\CONF-R\CMR15\100\107ADD09ADD01A.docx</w:t>
    </w:r>
    <w:r>
      <w:fldChar w:fldCharType="end"/>
    </w:r>
    <w:r w:rsidRPr="00CB4300">
      <w:rPr>
        <w:lang w:val="es-ES"/>
      </w:rPr>
      <w:t xml:space="preserve">   (</w:t>
    </w:r>
    <w:r w:rsidR="00042969">
      <w:rPr>
        <w:lang w:val="es-ES"/>
      </w:rPr>
      <w:t>388842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95579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9557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107(Add.9)(Add.1)-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2969"/>
    <w:rsid w:val="00044D43"/>
    <w:rsid w:val="00051907"/>
    <w:rsid w:val="00052039"/>
    <w:rsid w:val="00075A3F"/>
    <w:rsid w:val="000A1B16"/>
    <w:rsid w:val="000B5404"/>
    <w:rsid w:val="000D1708"/>
    <w:rsid w:val="000E2AFC"/>
    <w:rsid w:val="000E6D30"/>
    <w:rsid w:val="000F05F5"/>
    <w:rsid w:val="000F28EA"/>
    <w:rsid w:val="000F308F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560E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E6908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6265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3EF5"/>
    <w:rsid w:val="00564746"/>
    <w:rsid w:val="0056512C"/>
    <w:rsid w:val="00576D0A"/>
    <w:rsid w:val="00576FCC"/>
    <w:rsid w:val="00582D0A"/>
    <w:rsid w:val="00584333"/>
    <w:rsid w:val="005930D8"/>
    <w:rsid w:val="005953EC"/>
    <w:rsid w:val="00595579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A4702"/>
    <w:rsid w:val="006B0D94"/>
    <w:rsid w:val="006B4B90"/>
    <w:rsid w:val="006B658C"/>
    <w:rsid w:val="006C6DF8"/>
    <w:rsid w:val="006D2674"/>
    <w:rsid w:val="006E38D0"/>
    <w:rsid w:val="006E465B"/>
    <w:rsid w:val="006F70BF"/>
    <w:rsid w:val="00711C2E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2010"/>
    <w:rsid w:val="008D4F14"/>
    <w:rsid w:val="008D6ACC"/>
    <w:rsid w:val="008D7AF0"/>
    <w:rsid w:val="008E0E2E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1BD0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0225"/>
    <w:rsid w:val="00EC09B9"/>
    <w:rsid w:val="00ED048C"/>
    <w:rsid w:val="00ED4B29"/>
    <w:rsid w:val="00EF2C78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D4DCE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CA28CC1F-7AED-45E3-8FAB-3A74E46D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45626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62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R15-WRC15-C-0107!A9-A1!MSW-A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4FEAA-A0B6-40CA-82CD-BF5C466E36D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EBE0118-2A03-4778-A9DF-9633BF72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1652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R15-WRC15-C-0107!A9-A1!MSW-A</vt:lpstr>
    </vt:vector>
  </TitlesOfParts>
  <Manager>General Secretariat - Pool</Manager>
  <Company>International Telecommunication Union (ITU)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R15-WRC15-C-0107!A9-A1!MSW-A</dc:title>
  <dc:creator>Documents Proposals Manager (DPM)</dc:creator>
  <cp:keywords>DPM_v5.2015.10.21_prod</cp:keywords>
  <cp:lastModifiedBy>Awad, Samy</cp:lastModifiedBy>
  <cp:revision>4</cp:revision>
  <cp:lastPrinted>2011-11-07T13:53:00Z</cp:lastPrinted>
  <dcterms:created xsi:type="dcterms:W3CDTF">2015-10-31T10:35:00Z</dcterms:created>
  <dcterms:modified xsi:type="dcterms:W3CDTF">2015-10-31T12:11:00Z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