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416F8">
        <w:trPr>
          <w:cantSplit/>
        </w:trPr>
        <w:tc>
          <w:tcPr>
            <w:tcW w:w="6911" w:type="dxa"/>
          </w:tcPr>
          <w:p w:rsidR="000416F8" w:rsidRPr="00DF23FC" w:rsidRDefault="000416F8" w:rsidP="00C63535">
            <w:pPr>
              <w:spacing w:before="400" w:after="48" w:line="240" w:lineRule="atLeast"/>
              <w:rPr>
                <w:rFonts w:ascii="Verdana" w:hAnsi="Verdana"/>
                <w:position w:val="6"/>
              </w:rPr>
            </w:pPr>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0416F8" w:rsidRDefault="000416F8" w:rsidP="000416F8">
            <w:pPr>
              <w:spacing w:before="0" w:line="240" w:lineRule="atLeast"/>
              <w:jc w:val="right"/>
            </w:pPr>
            <w:bookmarkStart w:id="0" w:name="ditulogo"/>
            <w:bookmarkEnd w:id="0"/>
            <w:r>
              <w:rPr>
                <w:noProof/>
                <w:lang w:val="en-US" w:eastAsia="zh-CN"/>
              </w:rPr>
              <w:drawing>
                <wp:inline distT="0" distB="0" distL="0" distR="0" wp14:anchorId="7C969976" wp14:editId="388A51C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416F8" w:rsidRPr="00974431">
        <w:trPr>
          <w:cantSplit/>
        </w:trPr>
        <w:tc>
          <w:tcPr>
            <w:tcW w:w="6911" w:type="dxa"/>
            <w:tcBorders>
              <w:bottom w:val="single" w:sz="12" w:space="0" w:color="auto"/>
            </w:tcBorders>
          </w:tcPr>
          <w:p w:rsidR="000416F8" w:rsidRPr="00974431" w:rsidRDefault="000416F8" w:rsidP="000416F8">
            <w:pPr>
              <w:spacing w:before="0" w:after="48" w:line="240" w:lineRule="atLeast"/>
              <w:rPr>
                <w:rFonts w:ascii="Verdana" w:hAnsi="Verdana"/>
                <w:b/>
                <w:bCs/>
                <w:position w:val="6"/>
                <w:sz w:val="20"/>
              </w:rPr>
            </w:pPr>
            <w:bookmarkStart w:id="1" w:name="dhead"/>
            <w:r w:rsidRPr="00974431">
              <w:rPr>
                <w:rFonts w:ascii="Verdana" w:hAnsi="Verdana"/>
                <w:b/>
                <w:bCs/>
                <w:position w:val="6"/>
                <w:sz w:val="20"/>
              </w:rPr>
              <w:t>INTERNATIONAL TELECOMMUNICATION UNION</w:t>
            </w:r>
          </w:p>
        </w:tc>
        <w:tc>
          <w:tcPr>
            <w:tcW w:w="3120" w:type="dxa"/>
            <w:tcBorders>
              <w:bottom w:val="single" w:sz="12" w:space="0" w:color="auto"/>
            </w:tcBorders>
          </w:tcPr>
          <w:p w:rsidR="000416F8" w:rsidRPr="00974431" w:rsidRDefault="000416F8" w:rsidP="000416F8">
            <w:pPr>
              <w:spacing w:before="0" w:after="48" w:line="240" w:lineRule="atLeast"/>
              <w:rPr>
                <w:rFonts w:ascii="Verdana" w:hAnsi="Verdana"/>
                <w:b/>
                <w:bCs/>
                <w:position w:val="6"/>
                <w:sz w:val="20"/>
              </w:rPr>
            </w:pPr>
          </w:p>
        </w:tc>
      </w:tr>
      <w:tr w:rsidR="000416F8" w:rsidRPr="00C324A8">
        <w:trPr>
          <w:cantSplit/>
        </w:trPr>
        <w:tc>
          <w:tcPr>
            <w:tcW w:w="6911" w:type="dxa"/>
            <w:tcBorders>
              <w:top w:val="single" w:sz="12" w:space="0" w:color="auto"/>
            </w:tcBorders>
          </w:tcPr>
          <w:p w:rsidR="000416F8" w:rsidRPr="00C324A8" w:rsidRDefault="000416F8" w:rsidP="000416F8">
            <w:pPr>
              <w:spacing w:before="0" w:after="48" w:line="240" w:lineRule="atLeast"/>
              <w:rPr>
                <w:rFonts w:ascii="Verdana" w:hAnsi="Verdana"/>
                <w:b/>
                <w:smallCaps/>
                <w:sz w:val="20"/>
              </w:rPr>
            </w:pPr>
          </w:p>
        </w:tc>
        <w:tc>
          <w:tcPr>
            <w:tcW w:w="3120" w:type="dxa"/>
            <w:tcBorders>
              <w:top w:val="single" w:sz="12" w:space="0" w:color="auto"/>
            </w:tcBorders>
          </w:tcPr>
          <w:p w:rsidR="000416F8" w:rsidRPr="00C324A8" w:rsidRDefault="000416F8" w:rsidP="000416F8">
            <w:pPr>
              <w:spacing w:before="0" w:line="240" w:lineRule="atLeast"/>
              <w:rPr>
                <w:rFonts w:ascii="Verdana" w:hAnsi="Verdana"/>
                <w:sz w:val="20"/>
              </w:rPr>
            </w:pPr>
          </w:p>
        </w:tc>
      </w:tr>
      <w:tr w:rsidR="000416F8" w:rsidRPr="00C324A8">
        <w:trPr>
          <w:cantSplit/>
          <w:trHeight w:val="23"/>
        </w:trPr>
        <w:tc>
          <w:tcPr>
            <w:tcW w:w="6911" w:type="dxa"/>
            <w:vMerge w:val="restart"/>
          </w:tcPr>
          <w:p w:rsidR="000416F8" w:rsidRPr="000416F8" w:rsidRDefault="000416F8" w:rsidP="000416F8">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rsidR="000416F8" w:rsidRPr="000416F8" w:rsidRDefault="000416F8" w:rsidP="000416F8">
            <w:pPr>
              <w:tabs>
                <w:tab w:val="left" w:pos="851"/>
              </w:tabs>
              <w:spacing w:before="0" w:line="240" w:lineRule="atLeast"/>
              <w:rPr>
                <w:rFonts w:ascii="Verdana" w:hAnsi="Verdana"/>
                <w:sz w:val="20"/>
              </w:rPr>
            </w:pPr>
            <w:r>
              <w:rPr>
                <w:rFonts w:ascii="Verdana" w:hAnsi="Verdana"/>
                <w:b/>
                <w:sz w:val="20"/>
              </w:rPr>
              <w:t>Document 117-E</w:t>
            </w:r>
          </w:p>
        </w:tc>
      </w:tr>
      <w:tr w:rsidR="000416F8" w:rsidRPr="00C324A8">
        <w:trPr>
          <w:cantSplit/>
          <w:trHeight w:val="23"/>
        </w:trPr>
        <w:tc>
          <w:tcPr>
            <w:tcW w:w="6911" w:type="dxa"/>
            <w:vMerge/>
          </w:tcPr>
          <w:p w:rsidR="000416F8" w:rsidRPr="00C324A8" w:rsidRDefault="000416F8"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0416F8" w:rsidRPr="000416F8" w:rsidRDefault="000416F8" w:rsidP="000416F8">
            <w:pPr>
              <w:tabs>
                <w:tab w:val="left" w:pos="993"/>
              </w:tabs>
              <w:spacing w:before="0"/>
              <w:rPr>
                <w:rFonts w:ascii="Verdana" w:hAnsi="Verdana"/>
                <w:sz w:val="20"/>
              </w:rPr>
            </w:pPr>
            <w:r>
              <w:rPr>
                <w:rFonts w:ascii="Verdana" w:hAnsi="Verdana"/>
                <w:b/>
                <w:sz w:val="20"/>
              </w:rPr>
              <w:t>15 October 2015</w:t>
            </w:r>
          </w:p>
        </w:tc>
      </w:tr>
      <w:tr w:rsidR="000416F8" w:rsidRPr="00C324A8">
        <w:trPr>
          <w:cantSplit/>
          <w:trHeight w:val="23"/>
        </w:trPr>
        <w:tc>
          <w:tcPr>
            <w:tcW w:w="6911" w:type="dxa"/>
            <w:vMerge/>
          </w:tcPr>
          <w:p w:rsidR="000416F8" w:rsidRPr="00C324A8" w:rsidRDefault="000416F8" w:rsidP="00517B78">
            <w:pPr>
              <w:tabs>
                <w:tab w:val="left" w:pos="851"/>
              </w:tabs>
              <w:spacing w:line="240" w:lineRule="atLeast"/>
              <w:rPr>
                <w:rFonts w:ascii="Verdana" w:hAnsi="Verdana"/>
                <w:b/>
                <w:sz w:val="20"/>
              </w:rPr>
            </w:pPr>
            <w:bookmarkStart w:id="5" w:name="dorlang" w:colFirst="1" w:colLast="1"/>
            <w:bookmarkEnd w:id="4"/>
          </w:p>
        </w:tc>
        <w:tc>
          <w:tcPr>
            <w:tcW w:w="3120" w:type="dxa"/>
          </w:tcPr>
          <w:p w:rsidR="000416F8" w:rsidRPr="000416F8" w:rsidRDefault="000416F8" w:rsidP="000416F8">
            <w:pPr>
              <w:tabs>
                <w:tab w:val="left" w:pos="993"/>
              </w:tabs>
              <w:spacing w:before="0" w:after="120"/>
              <w:rPr>
                <w:rFonts w:ascii="Verdana" w:hAnsi="Verdana"/>
                <w:sz w:val="20"/>
              </w:rPr>
            </w:pPr>
            <w:r>
              <w:rPr>
                <w:rFonts w:ascii="Verdana" w:hAnsi="Verdana"/>
                <w:b/>
                <w:sz w:val="20"/>
              </w:rPr>
              <w:t>Original: English</w:t>
            </w:r>
          </w:p>
        </w:tc>
      </w:tr>
      <w:tr w:rsidR="000416F8">
        <w:trPr>
          <w:cantSplit/>
        </w:trPr>
        <w:tc>
          <w:tcPr>
            <w:tcW w:w="10031" w:type="dxa"/>
            <w:gridSpan w:val="2"/>
          </w:tcPr>
          <w:p w:rsidR="000416F8" w:rsidRDefault="000416F8" w:rsidP="00517B78">
            <w:pPr>
              <w:pStyle w:val="Source"/>
            </w:pPr>
            <w:bookmarkStart w:id="6" w:name="dsource" w:colFirst="0" w:colLast="0"/>
            <w:bookmarkEnd w:id="5"/>
            <w:r>
              <w:t>Japan</w:t>
            </w:r>
            <w:r>
              <w:rPr>
                <w:rFonts w:hint="eastAsia"/>
                <w:lang w:eastAsia="ja-JP"/>
              </w:rPr>
              <w:t xml:space="preserve"> and Singapore</w:t>
            </w:r>
          </w:p>
        </w:tc>
      </w:tr>
      <w:tr w:rsidR="000416F8">
        <w:trPr>
          <w:cantSplit/>
        </w:trPr>
        <w:tc>
          <w:tcPr>
            <w:tcW w:w="10031" w:type="dxa"/>
            <w:gridSpan w:val="2"/>
          </w:tcPr>
          <w:p w:rsidR="000416F8" w:rsidRDefault="000416F8" w:rsidP="00517B78">
            <w:pPr>
              <w:pStyle w:val="Title1"/>
            </w:pPr>
            <w:bookmarkStart w:id="7" w:name="dtitle1" w:colFirst="0" w:colLast="0"/>
            <w:bookmarkEnd w:id="6"/>
            <w:r w:rsidRPr="006E1A86">
              <w:t>PROPOSALS FOR THE WORK OF THE CONFERENCE</w:t>
            </w:r>
          </w:p>
        </w:tc>
      </w:tr>
      <w:tr w:rsidR="000416F8">
        <w:trPr>
          <w:cantSplit/>
        </w:trPr>
        <w:tc>
          <w:tcPr>
            <w:tcW w:w="10031" w:type="dxa"/>
            <w:gridSpan w:val="2"/>
          </w:tcPr>
          <w:p w:rsidR="000416F8" w:rsidRDefault="000416F8" w:rsidP="00517B78">
            <w:pPr>
              <w:pStyle w:val="Title2"/>
            </w:pPr>
            <w:bookmarkStart w:id="8" w:name="dtitle2" w:colFirst="0" w:colLast="0"/>
            <w:bookmarkEnd w:id="7"/>
            <w:r w:rsidRPr="006E1A86">
              <w:rPr>
                <w:lang w:eastAsia="ja-JP"/>
              </w:rPr>
              <w:t>Considerations on a WRC-19 agenda item regarding IMT identification in the frequency bands above 6 GH</w:t>
            </w:r>
            <w:r w:rsidRPr="006E1A86">
              <w:rPr>
                <w:caps w:val="0"/>
                <w:lang w:eastAsia="ja-JP"/>
              </w:rPr>
              <w:t>z</w:t>
            </w:r>
          </w:p>
        </w:tc>
      </w:tr>
      <w:tr w:rsidR="000416F8">
        <w:trPr>
          <w:cantSplit/>
        </w:trPr>
        <w:tc>
          <w:tcPr>
            <w:tcW w:w="10031" w:type="dxa"/>
            <w:gridSpan w:val="2"/>
          </w:tcPr>
          <w:p w:rsidR="000416F8" w:rsidRDefault="00604FCC" w:rsidP="00517B78">
            <w:pPr>
              <w:pStyle w:val="Title3"/>
            </w:pPr>
            <w:bookmarkStart w:id="9" w:name="dtitle3" w:colFirst="0" w:colLast="0"/>
            <w:bookmarkEnd w:id="8"/>
            <w:r>
              <w:t>Agenda item 10</w:t>
            </w:r>
          </w:p>
        </w:tc>
      </w:tr>
    </w:tbl>
    <w:p w:rsidR="00B04D70" w:rsidRDefault="00B04D70" w:rsidP="00B04D70">
      <w:bookmarkStart w:id="10" w:name="dbreak"/>
      <w:bookmarkStart w:id="11" w:name="_GoBack"/>
      <w:bookmarkEnd w:id="9"/>
      <w:bookmarkEnd w:id="10"/>
      <w:bookmarkEnd w:id="11"/>
    </w:p>
    <w:p w:rsidR="000416F8" w:rsidRPr="006E1A86" w:rsidRDefault="000416F8" w:rsidP="000416F8">
      <w:pPr>
        <w:pStyle w:val="Headingb"/>
      </w:pPr>
      <w:r w:rsidRPr="006E1A86">
        <w:t>Introduction</w:t>
      </w:r>
    </w:p>
    <w:p w:rsidR="000416F8" w:rsidRDefault="000416F8" w:rsidP="000416F8">
      <w:pPr>
        <w:rPr>
          <w:lang w:eastAsia="ja-JP"/>
        </w:rPr>
      </w:pPr>
      <w:r>
        <w:rPr>
          <w:rFonts w:hint="eastAsia"/>
          <w:lang w:eastAsia="ja-JP"/>
        </w:rPr>
        <w:t>While WRC-15 agenda item 1.1</w:t>
      </w:r>
      <w:r w:rsidRPr="00E33502">
        <w:t xml:space="preserve"> </w:t>
      </w:r>
      <w:r w:rsidRPr="00E33502">
        <w:rPr>
          <w:lang w:eastAsia="ja-JP"/>
        </w:rPr>
        <w:t xml:space="preserve">deals with </w:t>
      </w:r>
      <w:r>
        <w:rPr>
          <w:rFonts w:hint="eastAsia"/>
          <w:lang w:eastAsia="ja-JP"/>
        </w:rPr>
        <w:t xml:space="preserve">identification of the </w:t>
      </w:r>
      <w:r w:rsidRPr="00E33502">
        <w:rPr>
          <w:lang w:eastAsia="ja-JP"/>
        </w:rPr>
        <w:t>frequency bands below 6</w:t>
      </w:r>
      <w:r>
        <w:rPr>
          <w:rFonts w:hint="eastAsia"/>
          <w:lang w:eastAsia="ja-JP"/>
        </w:rPr>
        <w:t xml:space="preserve"> </w:t>
      </w:r>
      <w:r w:rsidRPr="00E33502">
        <w:rPr>
          <w:lang w:eastAsia="ja-JP"/>
        </w:rPr>
        <w:t>GHz</w:t>
      </w:r>
      <w:r>
        <w:rPr>
          <w:rFonts w:hint="eastAsia"/>
          <w:lang w:eastAsia="ja-JP"/>
        </w:rPr>
        <w:t xml:space="preserve"> for IMT, </w:t>
      </w:r>
      <w:r w:rsidRPr="00C0566C">
        <w:rPr>
          <w:lang w:eastAsia="ja-JP"/>
        </w:rPr>
        <w:t xml:space="preserve">there would be a need to </w:t>
      </w:r>
      <w:r w:rsidRPr="00563378">
        <w:rPr>
          <w:lang w:eastAsia="ja-JP"/>
        </w:rPr>
        <w:t>explore</w:t>
      </w:r>
      <w:r w:rsidRPr="00C0566C">
        <w:rPr>
          <w:lang w:eastAsia="ja-JP"/>
        </w:rPr>
        <w:t xml:space="preserve"> wideband contiguous spectrum </w:t>
      </w:r>
      <w:r>
        <w:rPr>
          <w:rFonts w:hint="eastAsia"/>
          <w:lang w:eastAsia="ja-JP"/>
        </w:rPr>
        <w:t xml:space="preserve">in higher frequency bands (e.g., </w:t>
      </w:r>
      <w:r w:rsidRPr="00C0566C">
        <w:rPr>
          <w:lang w:eastAsia="ja-JP"/>
        </w:rPr>
        <w:t>above 6 GHz</w:t>
      </w:r>
      <w:r>
        <w:rPr>
          <w:rFonts w:hint="eastAsia"/>
          <w:lang w:eastAsia="ja-JP"/>
        </w:rPr>
        <w:t>) in order to support various usage scenarios envisioned for IMT in 2020 and beyond</w:t>
      </w:r>
      <w:r w:rsidRPr="00C0566C">
        <w:rPr>
          <w:lang w:eastAsia="ja-JP"/>
        </w:rPr>
        <w:t>.</w:t>
      </w:r>
    </w:p>
    <w:p w:rsidR="000416F8" w:rsidRDefault="000416F8" w:rsidP="000416F8">
      <w:pPr>
        <w:rPr>
          <w:lang w:eastAsia="ja-JP"/>
        </w:rPr>
      </w:pPr>
      <w:r>
        <w:rPr>
          <w:rFonts w:hint="eastAsia"/>
          <w:lang w:eastAsia="ja-JP"/>
        </w:rPr>
        <w:t xml:space="preserve">Considering these backgrounds, several regional groups are proposing to establish a new agenda item for WRC-19 regarding IMT identification in the higher frequency bands. As a member of Asia-Pacific Telecommunity (APT), while Japan and Singapore support the APT common proposal (ACP) on this new agenda item, Japan and Singapore still consider that additional other </w:t>
      </w:r>
      <w:r>
        <w:rPr>
          <w:lang w:eastAsia="ja-JP"/>
        </w:rPr>
        <w:t>frequency</w:t>
      </w:r>
      <w:r>
        <w:rPr>
          <w:rFonts w:hint="eastAsia"/>
          <w:lang w:eastAsia="ja-JP"/>
        </w:rPr>
        <w:t xml:space="preserve"> ranges, which were proposed to the final meeting of </w:t>
      </w:r>
      <w:r w:rsidRPr="00C40118">
        <w:rPr>
          <w:lang w:eastAsia="ja-JP"/>
        </w:rPr>
        <w:t>APT Confe</w:t>
      </w:r>
      <w:r>
        <w:rPr>
          <w:lang w:eastAsia="ja-JP"/>
        </w:rPr>
        <w:t>rence Preparatory Group for WRC</w:t>
      </w:r>
      <w:r>
        <w:rPr>
          <w:lang w:eastAsia="ja-JP"/>
        </w:rPr>
        <w:noBreakHyphen/>
      </w:r>
      <w:r w:rsidRPr="00C40118">
        <w:rPr>
          <w:lang w:eastAsia="ja-JP"/>
        </w:rPr>
        <w:t>15 (APG-15)</w:t>
      </w:r>
      <w:r>
        <w:rPr>
          <w:rFonts w:hint="eastAsia"/>
          <w:lang w:eastAsia="ja-JP"/>
        </w:rPr>
        <w:t xml:space="preserve"> but not included in the ACP, should also be studied under this new agenda item considering several aspects. This contribution provides our considerations on these </w:t>
      </w:r>
      <w:r>
        <w:rPr>
          <w:lang w:eastAsia="ja-JP"/>
        </w:rPr>
        <w:t>aspect</w:t>
      </w:r>
      <w:r>
        <w:rPr>
          <w:rFonts w:hint="eastAsia"/>
          <w:lang w:eastAsia="ja-JP"/>
        </w:rPr>
        <w:t>s described in Section 2 below and our proposals on the work of conference for establishment of this agenda item described in Section 3 below.</w:t>
      </w:r>
    </w:p>
    <w:p w:rsidR="000416F8" w:rsidRPr="00604FCC" w:rsidRDefault="000416F8" w:rsidP="000416F8">
      <w:pPr>
        <w:pStyle w:val="Headingb"/>
        <w:rPr>
          <w:lang w:val="en-US" w:eastAsia="ja-JP"/>
        </w:rPr>
      </w:pPr>
      <w:r w:rsidRPr="00604FCC">
        <w:rPr>
          <w:rFonts w:hint="eastAsia"/>
          <w:lang w:val="en-US" w:eastAsia="ja-JP"/>
        </w:rPr>
        <w:t>Discussion</w:t>
      </w:r>
    </w:p>
    <w:p w:rsidR="000416F8" w:rsidRDefault="000416F8" w:rsidP="000416F8">
      <w:pPr>
        <w:rPr>
          <w:lang w:eastAsia="ja-JP"/>
        </w:rPr>
      </w:pPr>
      <w:r>
        <w:rPr>
          <w:rFonts w:hint="eastAsia"/>
          <w:lang w:eastAsia="ja-JP"/>
        </w:rPr>
        <w:t xml:space="preserve">In the final meeting of </w:t>
      </w:r>
      <w:r w:rsidRPr="00C40118">
        <w:rPr>
          <w:lang w:eastAsia="ja-JP"/>
        </w:rPr>
        <w:t>APG-15</w:t>
      </w:r>
      <w:r>
        <w:rPr>
          <w:rFonts w:hint="eastAsia"/>
          <w:lang w:eastAsia="ja-JP"/>
        </w:rPr>
        <w:t>, it was extensively discussed which frequency ranges should be included for study under the new  agenda item regarding IMT identification in the frequency bands above 6 GHz.</w:t>
      </w:r>
    </w:p>
    <w:p w:rsidR="000416F8" w:rsidRDefault="000416F8" w:rsidP="001C389E">
      <w:pPr>
        <w:rPr>
          <w:lang w:eastAsia="ja-JP"/>
        </w:rPr>
      </w:pPr>
      <w:r>
        <w:rPr>
          <w:rFonts w:hint="eastAsia"/>
          <w:lang w:eastAsia="ja-JP"/>
        </w:rPr>
        <w:t xml:space="preserve">Japan and Singapore still believe that some of these excluded </w:t>
      </w:r>
      <w:r>
        <w:rPr>
          <w:lang w:eastAsia="ja-JP"/>
        </w:rPr>
        <w:t>frequency</w:t>
      </w:r>
      <w:r>
        <w:rPr>
          <w:rFonts w:hint="eastAsia"/>
          <w:lang w:eastAsia="ja-JP"/>
        </w:rPr>
        <w:t xml:space="preserve"> ranges are also worth to be studied under this new agenda item considering the following aspects described below.</w:t>
      </w:r>
    </w:p>
    <w:p w:rsidR="000416F8" w:rsidRPr="001C389E" w:rsidRDefault="001C389E" w:rsidP="001C389E">
      <w:pPr>
        <w:pStyle w:val="Headingb"/>
        <w:ind w:left="1134" w:hanging="1134"/>
        <w:rPr>
          <w:lang w:val="en-US" w:eastAsia="ja-JP"/>
        </w:rPr>
      </w:pPr>
      <w:r w:rsidRPr="001C389E">
        <w:rPr>
          <w:lang w:val="en-US" w:eastAsia="ja-JP"/>
        </w:rPr>
        <w:t>1)</w:t>
      </w:r>
      <w:r w:rsidRPr="001C389E">
        <w:rPr>
          <w:lang w:val="en-US" w:eastAsia="ja-JP"/>
        </w:rPr>
        <w:tab/>
      </w:r>
      <w:r w:rsidR="000416F8" w:rsidRPr="001C389E">
        <w:rPr>
          <w:rFonts w:hint="eastAsia"/>
          <w:lang w:val="en-US" w:eastAsia="ja-JP"/>
        </w:rPr>
        <w:t>IMT development, implementation, and deployment in the frequency bands above 6 GHz</w:t>
      </w:r>
    </w:p>
    <w:p w:rsidR="000416F8" w:rsidRDefault="000416F8" w:rsidP="001C389E">
      <w:pPr>
        <w:rPr>
          <w:lang w:eastAsia="ja-JP"/>
        </w:rPr>
      </w:pPr>
      <w:r>
        <w:rPr>
          <w:rFonts w:hint="eastAsia"/>
          <w:lang w:eastAsia="ja-JP"/>
        </w:rPr>
        <w:lastRenderedPageBreak/>
        <w:t xml:space="preserve">The proposed frequency ranges for study in the ACP are </w:t>
      </w:r>
      <w:r>
        <w:rPr>
          <w:lang w:eastAsia="ja-JP"/>
        </w:rPr>
        <w:t>25.25</w:t>
      </w:r>
      <w:r>
        <w:rPr>
          <w:rFonts w:hint="eastAsia"/>
          <w:lang w:eastAsia="ja-JP"/>
        </w:rPr>
        <w:t>-2</w:t>
      </w:r>
      <w:r>
        <w:rPr>
          <w:lang w:eastAsia="ja-JP"/>
        </w:rPr>
        <w:t>5.5</w:t>
      </w:r>
      <w:r>
        <w:rPr>
          <w:rFonts w:hint="eastAsia"/>
          <w:lang w:eastAsia="ja-JP"/>
        </w:rPr>
        <w:t xml:space="preserve"> GHz, </w:t>
      </w:r>
      <w:r>
        <w:rPr>
          <w:lang w:eastAsia="ja-JP"/>
        </w:rPr>
        <w:t>31.8</w:t>
      </w:r>
      <w:r>
        <w:rPr>
          <w:rFonts w:hint="eastAsia"/>
          <w:lang w:eastAsia="ja-JP"/>
        </w:rPr>
        <w:t>-</w:t>
      </w:r>
      <w:r>
        <w:rPr>
          <w:lang w:eastAsia="ja-JP"/>
        </w:rPr>
        <w:t>33.4</w:t>
      </w:r>
      <w:r>
        <w:rPr>
          <w:rFonts w:hint="eastAsia"/>
          <w:lang w:eastAsia="ja-JP"/>
        </w:rPr>
        <w:t xml:space="preserve"> GHz, </w:t>
      </w:r>
      <w:r>
        <w:rPr>
          <w:lang w:eastAsia="ja-JP"/>
        </w:rPr>
        <w:t>39</w:t>
      </w:r>
      <w:r w:rsidR="001C389E">
        <w:rPr>
          <w:lang w:eastAsia="ja-JP"/>
        </w:rPr>
        <w:noBreakHyphen/>
      </w:r>
      <w:r>
        <w:rPr>
          <w:lang w:eastAsia="ja-JP"/>
        </w:rPr>
        <w:t>47</w:t>
      </w:r>
      <w:r w:rsidR="001C389E">
        <w:rPr>
          <w:lang w:eastAsia="ja-JP"/>
        </w:rPr>
        <w:t> </w:t>
      </w:r>
      <w:r>
        <w:rPr>
          <w:rFonts w:hint="eastAsia"/>
          <w:lang w:eastAsia="ja-JP"/>
        </w:rPr>
        <w:t xml:space="preserve">GHz, </w:t>
      </w:r>
      <w:r>
        <w:rPr>
          <w:lang w:eastAsia="ja-JP"/>
        </w:rPr>
        <w:t>47.2</w:t>
      </w:r>
      <w:r>
        <w:rPr>
          <w:rFonts w:hint="eastAsia"/>
          <w:lang w:eastAsia="ja-JP"/>
        </w:rPr>
        <w:t>-</w:t>
      </w:r>
      <w:r>
        <w:rPr>
          <w:lang w:eastAsia="ja-JP"/>
        </w:rPr>
        <w:t>50.2</w:t>
      </w:r>
      <w:r>
        <w:rPr>
          <w:rFonts w:hint="eastAsia"/>
          <w:lang w:eastAsia="ja-JP"/>
        </w:rPr>
        <w:t xml:space="preserve"> GHz, </w:t>
      </w:r>
      <w:r>
        <w:rPr>
          <w:lang w:eastAsia="ja-JP"/>
        </w:rPr>
        <w:t>50.4</w:t>
      </w:r>
      <w:r>
        <w:rPr>
          <w:rFonts w:hint="eastAsia"/>
          <w:lang w:eastAsia="ja-JP"/>
        </w:rPr>
        <w:t>-</w:t>
      </w:r>
      <w:r>
        <w:rPr>
          <w:lang w:eastAsia="ja-JP"/>
        </w:rPr>
        <w:t>52.6</w:t>
      </w:r>
      <w:r>
        <w:rPr>
          <w:rFonts w:hint="eastAsia"/>
          <w:lang w:eastAsia="ja-JP"/>
        </w:rPr>
        <w:t xml:space="preserve"> GHz, </w:t>
      </w:r>
      <w:r>
        <w:rPr>
          <w:lang w:eastAsia="ja-JP"/>
        </w:rPr>
        <w:t>66</w:t>
      </w:r>
      <w:r>
        <w:rPr>
          <w:rFonts w:hint="eastAsia"/>
          <w:lang w:eastAsia="ja-JP"/>
        </w:rPr>
        <w:t>-</w:t>
      </w:r>
      <w:r>
        <w:rPr>
          <w:lang w:eastAsia="ja-JP"/>
        </w:rPr>
        <w:t>76</w:t>
      </w:r>
      <w:r>
        <w:rPr>
          <w:rFonts w:hint="eastAsia"/>
          <w:lang w:eastAsia="ja-JP"/>
        </w:rPr>
        <w:t xml:space="preserve"> GHz, and </w:t>
      </w:r>
      <w:r>
        <w:rPr>
          <w:lang w:eastAsia="ja-JP"/>
        </w:rPr>
        <w:t>81</w:t>
      </w:r>
      <w:r>
        <w:rPr>
          <w:rFonts w:hint="eastAsia"/>
          <w:lang w:eastAsia="ja-JP"/>
        </w:rPr>
        <w:t>-</w:t>
      </w:r>
      <w:r>
        <w:rPr>
          <w:lang w:eastAsia="ja-JP"/>
        </w:rPr>
        <w:t>86</w:t>
      </w:r>
      <w:r>
        <w:rPr>
          <w:rFonts w:hint="eastAsia"/>
          <w:lang w:eastAsia="ja-JP"/>
        </w:rPr>
        <w:t xml:space="preserve"> GHz, and most of them are selected from the frequency ranges above 30 GHz.</w:t>
      </w:r>
    </w:p>
    <w:p w:rsidR="000416F8" w:rsidRDefault="000416F8" w:rsidP="001C389E">
      <w:pPr>
        <w:rPr>
          <w:lang w:eastAsia="ja-JP"/>
        </w:rPr>
      </w:pPr>
      <w:r>
        <w:rPr>
          <w:rFonts w:hint="eastAsia"/>
          <w:lang w:eastAsia="ja-JP"/>
        </w:rPr>
        <w:t xml:space="preserve">In </w:t>
      </w:r>
      <w:r>
        <w:rPr>
          <w:lang w:eastAsia="ja-JP"/>
        </w:rPr>
        <w:t>addition</w:t>
      </w:r>
      <w:r>
        <w:rPr>
          <w:rFonts w:hint="eastAsia"/>
          <w:lang w:eastAsia="ja-JP"/>
        </w:rPr>
        <w:t xml:space="preserve"> to these frequency ranges in the ACP, Japan and Singapore consider that </w:t>
      </w:r>
      <w:r w:rsidRPr="00604FCC">
        <w:rPr>
          <w:rFonts w:hint="eastAsia"/>
          <w:u w:val="single"/>
          <w:lang w:eastAsia="ja-JP"/>
        </w:rPr>
        <w:t>it is essential to include more frequency ranges between 6 -30 GHz for study under the new agenda item as well taking into account various use cases and associated requiremen</w:t>
      </w:r>
      <w:r w:rsidR="001C389E" w:rsidRPr="00604FCC">
        <w:rPr>
          <w:rFonts w:hint="eastAsia"/>
          <w:u w:val="single"/>
          <w:lang w:eastAsia="ja-JP"/>
        </w:rPr>
        <w:t>ts for IMT in the bands above 6</w:t>
      </w:r>
      <w:r w:rsidR="001C389E" w:rsidRPr="00604FCC">
        <w:rPr>
          <w:u w:val="single"/>
          <w:lang w:eastAsia="ja-JP"/>
        </w:rPr>
        <w:t> </w:t>
      </w:r>
      <w:r w:rsidRPr="00604FCC">
        <w:rPr>
          <w:rFonts w:hint="eastAsia"/>
          <w:u w:val="single"/>
          <w:lang w:eastAsia="ja-JP"/>
        </w:rPr>
        <w:t>GHz, which will be further elaborated in the next study cycle.</w:t>
      </w:r>
      <w:r w:rsidRPr="00323611">
        <w:rPr>
          <w:lang w:eastAsia="ja-JP"/>
        </w:rPr>
        <w:t xml:space="preserve"> </w:t>
      </w:r>
      <w:r w:rsidRPr="00385232">
        <w:rPr>
          <w:lang w:eastAsia="ja-JP"/>
        </w:rPr>
        <w:t xml:space="preserve">One of the challenges of </w:t>
      </w:r>
      <w:r>
        <w:rPr>
          <w:rFonts w:hint="eastAsia"/>
          <w:lang w:eastAsia="ja-JP"/>
        </w:rPr>
        <w:t xml:space="preserve">IMT </w:t>
      </w:r>
      <w:r w:rsidRPr="00385232">
        <w:rPr>
          <w:lang w:eastAsia="ja-JP"/>
        </w:rPr>
        <w:t xml:space="preserve">in the bands </w:t>
      </w:r>
      <w:r>
        <w:rPr>
          <w:rFonts w:hint="eastAsia"/>
          <w:lang w:eastAsia="ja-JP"/>
        </w:rPr>
        <w:t xml:space="preserve">above 6 GHz </w:t>
      </w:r>
      <w:r w:rsidRPr="00385232">
        <w:rPr>
          <w:lang w:eastAsia="ja-JP"/>
        </w:rPr>
        <w:t xml:space="preserve">for outdoor access </w:t>
      </w:r>
      <w:r>
        <w:rPr>
          <w:rFonts w:hint="eastAsia"/>
          <w:lang w:eastAsia="ja-JP"/>
        </w:rPr>
        <w:t>are</w:t>
      </w:r>
      <w:r w:rsidRPr="00385232">
        <w:rPr>
          <w:lang w:eastAsia="ja-JP"/>
        </w:rPr>
        <w:t xml:space="preserve"> to overcome expected difficulties in propagation conditions</w:t>
      </w:r>
      <w:r>
        <w:rPr>
          <w:rFonts w:hint="eastAsia"/>
          <w:lang w:eastAsia="ja-JP"/>
        </w:rPr>
        <w:t xml:space="preserve"> associated with </w:t>
      </w:r>
      <w:r w:rsidRPr="00385232">
        <w:rPr>
          <w:lang w:eastAsia="ja-JP"/>
        </w:rPr>
        <w:t>higher pathloss of the bands above 6 GHz relative to traditional cellular bands.</w:t>
      </w:r>
      <w:r>
        <w:rPr>
          <w:rFonts w:hint="eastAsia"/>
          <w:lang w:eastAsia="ja-JP"/>
        </w:rPr>
        <w:t xml:space="preserve"> In particular, </w:t>
      </w:r>
      <w:r>
        <w:rPr>
          <w:lang w:eastAsia="ja-JP"/>
        </w:rPr>
        <w:t xml:space="preserve">using the frequency bands above </w:t>
      </w:r>
      <w:r>
        <w:rPr>
          <w:rFonts w:hint="eastAsia"/>
          <w:lang w:eastAsia="ja-JP"/>
        </w:rPr>
        <w:t xml:space="preserve">around </w:t>
      </w:r>
      <w:r>
        <w:rPr>
          <w:lang w:eastAsia="ja-JP"/>
        </w:rPr>
        <w:t xml:space="preserve">30 GHz would face difficulties to provide </w:t>
      </w:r>
      <w:r w:rsidRPr="00EE6106">
        <w:rPr>
          <w:lang w:eastAsia="ja-JP"/>
        </w:rPr>
        <w:t xml:space="preserve">indoor coverage </w:t>
      </w:r>
      <w:r>
        <w:rPr>
          <w:rFonts w:hint="eastAsia"/>
          <w:lang w:eastAsia="ja-JP"/>
        </w:rPr>
        <w:t>by</w:t>
      </w:r>
      <w:r w:rsidRPr="00EE6106">
        <w:rPr>
          <w:lang w:eastAsia="ja-JP"/>
        </w:rPr>
        <w:t xml:space="preserve"> base stations located outdoors</w:t>
      </w:r>
      <w:r>
        <w:rPr>
          <w:rFonts w:hint="eastAsia"/>
          <w:lang w:eastAsia="ja-JP"/>
        </w:rPr>
        <w:t xml:space="preserve">, which would be essential </w:t>
      </w:r>
      <w:r w:rsidRPr="00EE6106">
        <w:rPr>
          <w:lang w:eastAsia="ja-JP"/>
        </w:rPr>
        <w:t xml:space="preserve">for </w:t>
      </w:r>
      <w:r>
        <w:rPr>
          <w:rFonts w:hint="eastAsia"/>
          <w:lang w:eastAsia="ja-JP"/>
        </w:rPr>
        <w:t xml:space="preserve">cost-effective and </w:t>
      </w:r>
      <w:r>
        <w:rPr>
          <w:lang w:eastAsia="ja-JP"/>
        </w:rPr>
        <w:t>successful</w:t>
      </w:r>
      <w:r>
        <w:rPr>
          <w:rFonts w:hint="eastAsia"/>
          <w:lang w:eastAsia="ja-JP"/>
        </w:rPr>
        <w:t xml:space="preserve"> </w:t>
      </w:r>
      <w:r w:rsidRPr="00EE6106">
        <w:rPr>
          <w:lang w:eastAsia="ja-JP"/>
        </w:rPr>
        <w:t xml:space="preserve">IMT </w:t>
      </w:r>
      <w:r>
        <w:rPr>
          <w:rFonts w:hint="eastAsia"/>
          <w:lang w:eastAsia="ja-JP"/>
        </w:rPr>
        <w:t xml:space="preserve">deployment. Technical background of this aspect can be found in the analysis in Section 5.2 of Report ITU-R M.2376, </w:t>
      </w:r>
      <w:r>
        <w:rPr>
          <w:lang w:eastAsia="ja-JP"/>
        </w:rPr>
        <w:t>“</w:t>
      </w:r>
      <w:r w:rsidRPr="00EE6106">
        <w:rPr>
          <w:lang w:eastAsia="ja-JP"/>
        </w:rPr>
        <w:t>Technical feas</w:t>
      </w:r>
      <w:r w:rsidR="001C389E">
        <w:rPr>
          <w:lang w:eastAsia="ja-JP"/>
        </w:rPr>
        <w:t>ibility of IMT in bands above 6 </w:t>
      </w:r>
      <w:r w:rsidRPr="00EE6106">
        <w:rPr>
          <w:lang w:eastAsia="ja-JP"/>
        </w:rPr>
        <w:t>GHz</w:t>
      </w:r>
      <w:r>
        <w:rPr>
          <w:lang w:eastAsia="ja-JP"/>
        </w:rPr>
        <w:t>”</w:t>
      </w:r>
      <w:r>
        <w:rPr>
          <w:rFonts w:hint="eastAsia"/>
          <w:lang w:eastAsia="ja-JP"/>
        </w:rPr>
        <w:t>.</w:t>
      </w:r>
    </w:p>
    <w:p w:rsidR="000416F8" w:rsidRPr="001C389E" w:rsidRDefault="001C389E" w:rsidP="001C389E">
      <w:pPr>
        <w:pStyle w:val="Headingb"/>
        <w:rPr>
          <w:lang w:val="en-US" w:eastAsia="ja-JP"/>
        </w:rPr>
      </w:pPr>
      <w:r w:rsidRPr="001C389E">
        <w:rPr>
          <w:lang w:val="en-US" w:eastAsia="ja-JP"/>
        </w:rPr>
        <w:t>2)</w:t>
      </w:r>
      <w:r w:rsidRPr="001C389E">
        <w:rPr>
          <w:lang w:val="en-US" w:eastAsia="ja-JP"/>
        </w:rPr>
        <w:tab/>
      </w:r>
      <w:r w:rsidR="000416F8" w:rsidRPr="001C389E">
        <w:rPr>
          <w:lang w:val="en-US" w:eastAsia="ja-JP"/>
        </w:rPr>
        <w:t xml:space="preserve">Treatment of </w:t>
      </w:r>
      <w:r w:rsidR="000416F8" w:rsidRPr="001C389E">
        <w:rPr>
          <w:rFonts w:hint="eastAsia"/>
          <w:lang w:val="en-US" w:eastAsia="ja-JP"/>
        </w:rPr>
        <w:t>proposals</w:t>
      </w:r>
      <w:r w:rsidR="000416F8" w:rsidRPr="001C389E">
        <w:rPr>
          <w:lang w:val="en-US" w:eastAsia="ja-JP"/>
        </w:rPr>
        <w:t xml:space="preserve"> from regional groups and individual administration</w:t>
      </w:r>
    </w:p>
    <w:p w:rsidR="000416F8" w:rsidRDefault="000416F8" w:rsidP="001C389E">
      <w:pPr>
        <w:rPr>
          <w:lang w:eastAsia="ja-JP"/>
        </w:rPr>
      </w:pPr>
      <w:r>
        <w:rPr>
          <w:rFonts w:hint="eastAsia"/>
          <w:lang w:eastAsia="ja-JP"/>
        </w:rPr>
        <w:t xml:space="preserve">Japan and Singapore consider </w:t>
      </w:r>
      <w:r>
        <w:rPr>
          <w:lang w:eastAsia="ja-JP"/>
        </w:rPr>
        <w:t>that</w:t>
      </w:r>
      <w:r>
        <w:rPr>
          <w:rFonts w:hint="eastAsia"/>
          <w:lang w:eastAsia="ja-JP"/>
        </w:rPr>
        <w:t xml:space="preserve"> </w:t>
      </w:r>
      <w:r w:rsidRPr="00604FCC">
        <w:rPr>
          <w:rFonts w:hint="eastAsia"/>
          <w:u w:val="single"/>
          <w:lang w:eastAsia="ja-JP"/>
        </w:rPr>
        <w:t>the frequency ranges proposed by the regional groups should be included in the scope of the study under the new agenda item. Furthermore, the frequency ranges supported by some administrations, which are not covered by the regional groups</w:t>
      </w:r>
      <w:r w:rsidRPr="00604FCC">
        <w:rPr>
          <w:u w:val="single"/>
          <w:lang w:eastAsia="ja-JP"/>
        </w:rPr>
        <w:t>’</w:t>
      </w:r>
      <w:r w:rsidRPr="00604FCC">
        <w:rPr>
          <w:rFonts w:hint="eastAsia"/>
          <w:u w:val="single"/>
          <w:lang w:eastAsia="ja-JP"/>
        </w:rPr>
        <w:t xml:space="preserve"> proposals, should also be included in the scope of the study.</w:t>
      </w:r>
    </w:p>
    <w:p w:rsidR="000416F8" w:rsidRDefault="000416F8" w:rsidP="001C389E">
      <w:pPr>
        <w:rPr>
          <w:lang w:eastAsia="ja-JP"/>
        </w:rPr>
      </w:pPr>
      <w:r>
        <w:rPr>
          <w:rFonts w:hint="eastAsia"/>
          <w:lang w:eastAsia="ja-JP"/>
        </w:rPr>
        <w:t xml:space="preserve">Japan and Singapore also believe </w:t>
      </w:r>
      <w:r>
        <w:rPr>
          <w:lang w:eastAsia="ja-JP"/>
        </w:rPr>
        <w:t>that</w:t>
      </w:r>
      <w:r>
        <w:rPr>
          <w:rFonts w:hint="eastAsia"/>
          <w:lang w:eastAsia="ja-JP"/>
        </w:rPr>
        <w:t xml:space="preserve"> </w:t>
      </w:r>
      <w:r w:rsidRPr="00604FCC">
        <w:rPr>
          <w:rFonts w:hint="eastAsia"/>
          <w:u w:val="single"/>
          <w:lang w:eastAsia="ja-JP"/>
        </w:rPr>
        <w:t xml:space="preserve">excluding </w:t>
      </w:r>
      <w:r w:rsidRPr="00604FCC">
        <w:rPr>
          <w:u w:val="single"/>
          <w:lang w:eastAsia="ja-JP"/>
        </w:rPr>
        <w:t>some</w:t>
      </w:r>
      <w:r w:rsidRPr="00604FCC">
        <w:rPr>
          <w:rFonts w:hint="eastAsia"/>
          <w:u w:val="single"/>
          <w:lang w:eastAsia="ja-JP"/>
        </w:rPr>
        <w:t xml:space="preserve"> of the frequency ranges before considering results of sharing/compatibility studies, in particular, excluding the frequency bands that are already allocated to the mobile </w:t>
      </w:r>
      <w:r w:rsidRPr="00604FCC">
        <w:rPr>
          <w:u w:val="single"/>
          <w:lang w:eastAsia="ja-JP"/>
        </w:rPr>
        <w:t>service</w:t>
      </w:r>
      <w:r w:rsidRPr="00604FCC">
        <w:rPr>
          <w:rFonts w:hint="eastAsia"/>
          <w:u w:val="single"/>
          <w:lang w:eastAsia="ja-JP"/>
        </w:rPr>
        <w:t xml:space="preserve"> on a primary basis, is </w:t>
      </w:r>
      <w:r w:rsidRPr="00604FCC">
        <w:rPr>
          <w:u w:val="single"/>
          <w:lang w:eastAsia="ja-JP"/>
        </w:rPr>
        <w:t>not appropriate and should be avoided</w:t>
      </w:r>
      <w:r w:rsidRPr="00F56963">
        <w:rPr>
          <w:lang w:eastAsia="ja-JP"/>
        </w:rPr>
        <w:t xml:space="preserve"> in the discussion of the selection of the frequency ranges/bands.</w:t>
      </w:r>
      <w:r>
        <w:rPr>
          <w:rFonts w:hint="eastAsia"/>
          <w:lang w:eastAsia="ja-JP"/>
        </w:rPr>
        <w:t xml:space="preserve"> </w:t>
      </w:r>
      <w:r w:rsidRPr="00E75B4B">
        <w:rPr>
          <w:rFonts w:hint="eastAsia"/>
          <w:lang w:eastAsia="ja-JP"/>
        </w:rPr>
        <w:t xml:space="preserve">Rather than excluding some of the frequency ranges immediately, we should conduct sharing and compatibility studies between IMT and incumbent applications in the next study cycle, and then evaluate potential candidate frequency bands for IMT considering the results of sharing and </w:t>
      </w:r>
      <w:r w:rsidRPr="00E75B4B">
        <w:rPr>
          <w:lang w:eastAsia="ja-JP"/>
        </w:rPr>
        <w:t>compatibility</w:t>
      </w:r>
      <w:r w:rsidRPr="00E75B4B">
        <w:rPr>
          <w:rFonts w:hint="eastAsia"/>
          <w:lang w:eastAsia="ja-JP"/>
        </w:rPr>
        <w:t xml:space="preserve"> studies, </w:t>
      </w:r>
      <w:r w:rsidRPr="00E75B4B">
        <w:rPr>
          <w:lang w:eastAsia="ja-JP"/>
        </w:rPr>
        <w:t>current</w:t>
      </w:r>
      <w:r w:rsidRPr="00E75B4B">
        <w:rPr>
          <w:rFonts w:hint="eastAsia"/>
          <w:lang w:eastAsia="ja-JP"/>
        </w:rPr>
        <w:t xml:space="preserve"> &amp; future usage in the time-frame of 2020 and beyond, etc. In t</w:t>
      </w:r>
      <w:r>
        <w:rPr>
          <w:rFonts w:hint="eastAsia"/>
          <w:lang w:eastAsia="ja-JP"/>
        </w:rPr>
        <w:t xml:space="preserve">he sharing and </w:t>
      </w:r>
      <w:r>
        <w:rPr>
          <w:lang w:eastAsia="ja-JP"/>
        </w:rPr>
        <w:t>compatibility</w:t>
      </w:r>
      <w:r>
        <w:rPr>
          <w:rFonts w:hint="eastAsia"/>
          <w:lang w:eastAsia="ja-JP"/>
        </w:rPr>
        <w:t xml:space="preserve"> studies, it is also essential to use envisaged new characteristics and deployment scenarios of IMT, which may be different from conventional IMT below 6</w:t>
      </w:r>
      <w:r w:rsidR="000865C5">
        <w:rPr>
          <w:lang w:eastAsia="ja-JP"/>
        </w:rPr>
        <w:t xml:space="preserve"> </w:t>
      </w:r>
      <w:r>
        <w:rPr>
          <w:rFonts w:hint="eastAsia"/>
          <w:lang w:eastAsia="ja-JP"/>
        </w:rPr>
        <w:t xml:space="preserve">GHz, and those characteristics of incumbent </w:t>
      </w:r>
      <w:r>
        <w:rPr>
          <w:lang w:eastAsia="ja-JP"/>
        </w:rPr>
        <w:t>applications</w:t>
      </w:r>
      <w:r>
        <w:rPr>
          <w:rFonts w:hint="eastAsia"/>
          <w:lang w:eastAsia="ja-JP"/>
        </w:rPr>
        <w:t xml:space="preserve"> based on the available latest information, and any prejudgement based on the existing studies should be avoided.</w:t>
      </w:r>
    </w:p>
    <w:p w:rsidR="000416F8" w:rsidRPr="00604FCC" w:rsidRDefault="000416F8" w:rsidP="00123EBB">
      <w:pPr>
        <w:pStyle w:val="Headingb"/>
        <w:rPr>
          <w:lang w:val="en-US" w:eastAsia="ja-JP"/>
        </w:rPr>
      </w:pPr>
      <w:r w:rsidRPr="00604FCC">
        <w:rPr>
          <w:rFonts w:hint="eastAsia"/>
          <w:lang w:val="en-US" w:eastAsia="ja-JP"/>
        </w:rPr>
        <w:t>Proposals</w:t>
      </w:r>
    </w:p>
    <w:p w:rsidR="000416F8" w:rsidRDefault="000416F8" w:rsidP="000416F8">
      <w:pPr>
        <w:rPr>
          <w:lang w:eastAsia="ja-JP"/>
        </w:rPr>
      </w:pPr>
      <w:r>
        <w:rPr>
          <w:rFonts w:hint="eastAsia"/>
          <w:lang w:eastAsia="ja-JP"/>
        </w:rPr>
        <w:t xml:space="preserve">Based on the discussion in Section 2 above, Japan and Singapore propose to adopt the </w:t>
      </w:r>
      <w:r>
        <w:rPr>
          <w:lang w:eastAsia="ja-JP"/>
        </w:rPr>
        <w:t>following</w:t>
      </w:r>
      <w:r>
        <w:rPr>
          <w:rFonts w:hint="eastAsia"/>
          <w:lang w:eastAsia="ja-JP"/>
        </w:rPr>
        <w:t xml:space="preserve"> principles when discussing the new agenda item for WRC-19 regarding IMT identification in the frequency bands above 6 GHz:</w:t>
      </w:r>
    </w:p>
    <w:p w:rsidR="000416F8" w:rsidRPr="00041E05" w:rsidRDefault="000416F8" w:rsidP="000416F8">
      <w:pPr>
        <w:pStyle w:val="enumlev1"/>
        <w:tabs>
          <w:tab w:val="clear" w:pos="1134"/>
        </w:tabs>
        <w:rPr>
          <w:lang w:val="en-US" w:eastAsia="ja-JP"/>
        </w:rPr>
      </w:pPr>
      <w:r w:rsidRPr="005701A5">
        <w:rPr>
          <w:lang w:val="en-US"/>
        </w:rPr>
        <w:t>–</w:t>
      </w:r>
      <w:r w:rsidRPr="005701A5">
        <w:rPr>
          <w:lang w:val="en-US"/>
        </w:rPr>
        <w:tab/>
      </w:r>
      <w:r>
        <w:rPr>
          <w:rFonts w:hint="eastAsia"/>
          <w:lang w:val="en-US" w:eastAsia="ja-JP"/>
        </w:rPr>
        <w:t>T</w:t>
      </w:r>
      <w:r w:rsidRPr="0035742A">
        <w:rPr>
          <w:lang w:val="en-US"/>
        </w:rPr>
        <w:t>he freq</w:t>
      </w:r>
      <w:r>
        <w:rPr>
          <w:rFonts w:hint="eastAsia"/>
          <w:lang w:val="en-US" w:eastAsia="ja-JP"/>
        </w:rPr>
        <w:t>ue</w:t>
      </w:r>
      <w:r w:rsidRPr="0035742A">
        <w:rPr>
          <w:lang w:val="en-US"/>
        </w:rPr>
        <w:t>ncy ranges proposed by the regional groups should be included in the scope of the study under the new agenda item</w:t>
      </w:r>
      <w:r>
        <w:rPr>
          <w:lang w:val="en-US"/>
        </w:rPr>
        <w:t>. Furth</w:t>
      </w:r>
      <w:r>
        <w:rPr>
          <w:rFonts w:hint="eastAsia"/>
          <w:lang w:val="en-US" w:eastAsia="ja-JP"/>
        </w:rPr>
        <w:t>e</w:t>
      </w:r>
      <w:r>
        <w:rPr>
          <w:lang w:val="en-US"/>
        </w:rPr>
        <w:t>r</w:t>
      </w:r>
      <w:r w:rsidRPr="0035742A">
        <w:rPr>
          <w:lang w:val="en-US"/>
        </w:rPr>
        <w:t>more, the frequency ranges supported by some administrations, which are not covered by the regional groups’ proposals, should also be included in the scope of the study.</w:t>
      </w:r>
    </w:p>
    <w:p w:rsidR="000416F8" w:rsidRPr="005701A5" w:rsidRDefault="000416F8" w:rsidP="000416F8">
      <w:pPr>
        <w:pStyle w:val="enumlev1"/>
        <w:tabs>
          <w:tab w:val="clear" w:pos="1134"/>
        </w:tabs>
        <w:rPr>
          <w:lang w:val="en-US"/>
        </w:rPr>
      </w:pPr>
      <w:r w:rsidRPr="005701A5">
        <w:rPr>
          <w:lang w:val="en-US"/>
        </w:rPr>
        <w:t>–</w:t>
      </w:r>
      <w:r w:rsidRPr="005701A5">
        <w:rPr>
          <w:lang w:val="en-US"/>
        </w:rPr>
        <w:tab/>
      </w:r>
      <w:r w:rsidRPr="0035742A">
        <w:rPr>
          <w:rFonts w:hint="eastAsia"/>
          <w:lang w:eastAsia="ja-JP"/>
        </w:rPr>
        <w:t xml:space="preserve">Excluding </w:t>
      </w:r>
      <w:r w:rsidRPr="0035742A">
        <w:rPr>
          <w:lang w:eastAsia="ja-JP"/>
        </w:rPr>
        <w:t>some</w:t>
      </w:r>
      <w:r w:rsidRPr="0035742A">
        <w:rPr>
          <w:rFonts w:hint="eastAsia"/>
          <w:lang w:eastAsia="ja-JP"/>
        </w:rPr>
        <w:t xml:space="preserve"> of the frequency ranges</w:t>
      </w:r>
      <w:r>
        <w:rPr>
          <w:rFonts w:hint="eastAsia"/>
          <w:lang w:eastAsia="ja-JP"/>
        </w:rPr>
        <w:t>, before considering the results of sharing/compatibility studies</w:t>
      </w:r>
      <w:r w:rsidRPr="0035742A">
        <w:rPr>
          <w:rFonts w:hint="eastAsia"/>
          <w:lang w:eastAsia="ja-JP"/>
        </w:rPr>
        <w:t>, in particular, exclu</w:t>
      </w:r>
      <w:r>
        <w:rPr>
          <w:rFonts w:hint="eastAsia"/>
          <w:lang w:eastAsia="ja-JP"/>
        </w:rPr>
        <w:t>d</w:t>
      </w:r>
      <w:r w:rsidRPr="0035742A">
        <w:rPr>
          <w:rFonts w:hint="eastAsia"/>
          <w:lang w:eastAsia="ja-JP"/>
        </w:rPr>
        <w:t xml:space="preserve">ing the frequency bands that are already allocated to the mobile </w:t>
      </w:r>
      <w:r w:rsidRPr="0035742A">
        <w:rPr>
          <w:lang w:eastAsia="ja-JP"/>
        </w:rPr>
        <w:t>service</w:t>
      </w:r>
      <w:r w:rsidRPr="0035742A">
        <w:rPr>
          <w:rFonts w:hint="eastAsia"/>
          <w:lang w:eastAsia="ja-JP"/>
        </w:rPr>
        <w:t xml:space="preserve"> on a primary basis, is </w:t>
      </w:r>
      <w:r w:rsidRPr="00DE0813">
        <w:rPr>
          <w:lang w:eastAsia="ja-JP"/>
        </w:rPr>
        <w:t>not appropriate and should be avoided</w:t>
      </w:r>
      <w:r>
        <w:rPr>
          <w:rFonts w:hint="eastAsia"/>
          <w:lang w:eastAsia="ja-JP"/>
        </w:rPr>
        <w:t>;</w:t>
      </w:r>
    </w:p>
    <w:p w:rsidR="000416F8" w:rsidRDefault="000416F8" w:rsidP="000416F8">
      <w:pPr>
        <w:pStyle w:val="enumlev1"/>
        <w:tabs>
          <w:tab w:val="clear" w:pos="1134"/>
        </w:tabs>
        <w:rPr>
          <w:lang w:val="en-US" w:eastAsia="ja-JP"/>
        </w:rPr>
      </w:pPr>
      <w:r w:rsidRPr="005701A5">
        <w:rPr>
          <w:lang w:val="en-US"/>
        </w:rPr>
        <w:t>–</w:t>
      </w:r>
      <w:r w:rsidRPr="005701A5">
        <w:rPr>
          <w:lang w:val="en-US"/>
        </w:rPr>
        <w:tab/>
      </w:r>
      <w:r w:rsidRPr="00F56963">
        <w:rPr>
          <w:lang w:val="en-US"/>
        </w:rPr>
        <w:t>I</w:t>
      </w:r>
      <w:r w:rsidRPr="002C1CDE">
        <w:t xml:space="preserve">t is essential to include frequency ranges </w:t>
      </w:r>
      <w:r>
        <w:rPr>
          <w:rFonts w:hint="eastAsia"/>
          <w:lang w:val="en-US" w:eastAsia="ja-JP"/>
        </w:rPr>
        <w:t>between 6-</w:t>
      </w:r>
      <w:r w:rsidRPr="002C1CDE">
        <w:t xml:space="preserve">30 GHz for study under this new agenda item as various use cases and associated requirements for IMT in the bands above 6 GHz will be further elaborated in the next study cycle. In other words, </w:t>
      </w:r>
      <w:r w:rsidRPr="002C1CDE">
        <w:lastRenderedPageBreak/>
        <w:t>frequency ranges to be studied under this agenda item should be carefully selected considering the balance between lower range (6-30 GHz) and middle &amp; higher ranges (30-100 GHz)</w:t>
      </w:r>
      <w:r w:rsidR="00123EBB">
        <w:rPr>
          <w:lang w:val="en-US"/>
        </w:rPr>
        <w:t>.</w:t>
      </w:r>
    </w:p>
    <w:p w:rsidR="000416F8" w:rsidRPr="007346FC" w:rsidRDefault="000416F8" w:rsidP="000416F8">
      <w:r w:rsidRPr="007346FC">
        <w:rPr>
          <w:rFonts w:hint="eastAsia"/>
        </w:rPr>
        <w:t xml:space="preserve">Considering the above aspects, in </w:t>
      </w:r>
      <w:r w:rsidRPr="007346FC">
        <w:t xml:space="preserve">addition to the frequency ranges </w:t>
      </w:r>
      <w:r w:rsidRPr="007346FC">
        <w:rPr>
          <w:rFonts w:hint="eastAsia"/>
        </w:rPr>
        <w:t>indicated</w:t>
      </w:r>
      <w:r w:rsidRPr="007346FC">
        <w:t xml:space="preserve"> </w:t>
      </w:r>
      <w:r w:rsidRPr="007346FC">
        <w:rPr>
          <w:rFonts w:hint="eastAsia"/>
        </w:rPr>
        <w:t>in the ACP, Japan</w:t>
      </w:r>
      <w:r>
        <w:rPr>
          <w:rFonts w:hint="eastAsia"/>
          <w:lang w:eastAsia="ja-JP"/>
        </w:rPr>
        <w:t xml:space="preserve"> and Singapore</w:t>
      </w:r>
      <w:r w:rsidRPr="007346FC">
        <w:rPr>
          <w:rFonts w:hint="eastAsia"/>
        </w:rPr>
        <w:t xml:space="preserve"> also propose to include the following frequency ranges for study under this agenda item:</w:t>
      </w:r>
    </w:p>
    <w:p w:rsidR="000416F8" w:rsidRDefault="000416F8" w:rsidP="00123EBB">
      <w:pPr>
        <w:pStyle w:val="enumlev1"/>
      </w:pPr>
      <w:r w:rsidRPr="005701A5">
        <w:rPr>
          <w:lang w:val="en-US"/>
        </w:rPr>
        <w:t>–</w:t>
      </w:r>
      <w:r w:rsidRPr="005701A5">
        <w:rPr>
          <w:lang w:val="en-US"/>
        </w:rPr>
        <w:tab/>
      </w:r>
      <w:r w:rsidRPr="00567E5C">
        <w:rPr>
          <w:lang w:val="en-US"/>
        </w:rPr>
        <w:t>6</w:t>
      </w:r>
      <w:r>
        <w:rPr>
          <w:rFonts w:hint="eastAsia"/>
          <w:lang w:val="en-US" w:eastAsia="ja-JP"/>
        </w:rPr>
        <w:t>-</w:t>
      </w:r>
      <w:r w:rsidRPr="00567E5C">
        <w:rPr>
          <w:lang w:val="en-US"/>
        </w:rPr>
        <w:t>8.5 GHz</w:t>
      </w:r>
      <w:r>
        <w:rPr>
          <w:rFonts w:hint="eastAsia"/>
          <w:lang w:val="en-US" w:eastAsia="ja-JP"/>
        </w:rPr>
        <w:t xml:space="preserve">, </w:t>
      </w:r>
      <w:r w:rsidRPr="00567E5C">
        <w:rPr>
          <w:lang w:val="en-US"/>
        </w:rPr>
        <w:t>10</w:t>
      </w:r>
      <w:r>
        <w:rPr>
          <w:rFonts w:hint="eastAsia"/>
          <w:lang w:val="en-US" w:eastAsia="ja-JP"/>
        </w:rPr>
        <w:t>-</w:t>
      </w:r>
      <w:r w:rsidRPr="00567E5C">
        <w:rPr>
          <w:lang w:val="en-US"/>
        </w:rPr>
        <w:t>10.5 GHz</w:t>
      </w:r>
      <w:r>
        <w:rPr>
          <w:rFonts w:hint="eastAsia"/>
          <w:lang w:val="en-US" w:eastAsia="ja-JP"/>
        </w:rPr>
        <w:t xml:space="preserve">, </w:t>
      </w:r>
      <w:r w:rsidRPr="00567E5C">
        <w:rPr>
          <w:lang w:val="en-US"/>
        </w:rPr>
        <w:t>14.4</w:t>
      </w:r>
      <w:r>
        <w:rPr>
          <w:rFonts w:hint="eastAsia"/>
          <w:lang w:val="en-US" w:eastAsia="ja-JP"/>
        </w:rPr>
        <w:t>-</w:t>
      </w:r>
      <w:r w:rsidRPr="00567E5C">
        <w:rPr>
          <w:lang w:val="en-US"/>
        </w:rPr>
        <w:t>15.35 GHz</w:t>
      </w:r>
      <w:r>
        <w:rPr>
          <w:rFonts w:hint="eastAsia"/>
          <w:lang w:val="en-US" w:eastAsia="ja-JP"/>
        </w:rPr>
        <w:t xml:space="preserve">, </w:t>
      </w:r>
      <w:r w:rsidRPr="00567E5C">
        <w:rPr>
          <w:lang w:val="en-US"/>
        </w:rPr>
        <w:t>25.5</w:t>
      </w:r>
      <w:r>
        <w:rPr>
          <w:rFonts w:hint="eastAsia"/>
          <w:lang w:val="en-US" w:eastAsia="ja-JP"/>
        </w:rPr>
        <w:t>-</w:t>
      </w:r>
      <w:r w:rsidRPr="00567E5C">
        <w:rPr>
          <w:lang w:val="en-US"/>
        </w:rPr>
        <w:t>29.5 GHz</w:t>
      </w:r>
      <w:r>
        <w:rPr>
          <w:rFonts w:hint="eastAsia"/>
          <w:lang w:val="en-US" w:eastAsia="ja-JP"/>
        </w:rPr>
        <w:t>, and 37-39 GHz.</w:t>
      </w:r>
    </w:p>
    <w:p w:rsidR="003C5202" w:rsidRDefault="003C5202" w:rsidP="003C5202">
      <w:pPr>
        <w:pStyle w:val="Reasons"/>
      </w:pPr>
    </w:p>
    <w:p w:rsidR="00123EBB" w:rsidRDefault="00123EBB">
      <w:pPr>
        <w:jc w:val="center"/>
      </w:pPr>
      <w:r>
        <w:t>______________</w:t>
      </w:r>
    </w:p>
    <w:sectPr w:rsidR="00123EBB">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6F8" w:rsidRDefault="000416F8">
      <w:r>
        <w:separator/>
      </w:r>
    </w:p>
  </w:endnote>
  <w:endnote w:type="continuationSeparator" w:id="0">
    <w:p w:rsidR="000416F8" w:rsidRDefault="0004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865C5">
      <w:rPr>
        <w:noProof/>
        <w:lang w:val="en-US"/>
      </w:rPr>
      <w:t>Y:\APP\BR\POOL\WRC-15\DOC (Contributions)\101-199\117E.docx</w:t>
    </w:r>
    <w:r>
      <w:fldChar w:fldCharType="end"/>
    </w:r>
    <w:r w:rsidRPr="0041348E">
      <w:rPr>
        <w:lang w:val="en-US"/>
      </w:rPr>
      <w:tab/>
    </w:r>
    <w:r>
      <w:fldChar w:fldCharType="begin"/>
    </w:r>
    <w:r>
      <w:instrText xml:space="preserve"> SAVEDATE \@ DD.MM.YY </w:instrText>
    </w:r>
    <w:r>
      <w:fldChar w:fldCharType="separate"/>
    </w:r>
    <w:r w:rsidR="00697912">
      <w:rPr>
        <w:noProof/>
      </w:rPr>
      <w:t>25.10.15</w:t>
    </w:r>
    <w:r>
      <w:fldChar w:fldCharType="end"/>
    </w:r>
    <w:r w:rsidRPr="0041348E">
      <w:rPr>
        <w:lang w:val="en-US"/>
      </w:rPr>
      <w:tab/>
    </w:r>
    <w:r>
      <w:fldChar w:fldCharType="begin"/>
    </w:r>
    <w:r>
      <w:instrText xml:space="preserve"> PRINTDATE \@ DD.MM.YY </w:instrText>
    </w:r>
    <w:r>
      <w:fldChar w:fldCharType="separate"/>
    </w:r>
    <w:r w:rsidR="000865C5">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697912">
      <w:rPr>
        <w:lang w:val="en-US"/>
      </w:rPr>
      <w:t>P:\ENG\ITU-R\CONF-R\CMR15\100\117E.docx</w:t>
    </w:r>
    <w:r>
      <w:fldChar w:fldCharType="end"/>
    </w:r>
    <w:r w:rsidR="00697912">
      <w:t xml:space="preserve"> (388897)</w:t>
    </w:r>
    <w:r w:rsidRPr="0041348E">
      <w:rPr>
        <w:lang w:val="en-US"/>
      </w:rPr>
      <w:tab/>
    </w:r>
    <w:r>
      <w:fldChar w:fldCharType="begin"/>
    </w:r>
    <w:r>
      <w:instrText xml:space="preserve"> SAVEDATE \@ DD.MM.YY </w:instrText>
    </w:r>
    <w:r>
      <w:fldChar w:fldCharType="separate"/>
    </w:r>
    <w:r w:rsidR="00697912">
      <w:t>25.10.15</w:t>
    </w:r>
    <w:r>
      <w:fldChar w:fldCharType="end"/>
    </w:r>
    <w:r w:rsidRPr="0041348E">
      <w:rPr>
        <w:lang w:val="en-US"/>
      </w:rPr>
      <w:tab/>
    </w:r>
    <w:r>
      <w:fldChar w:fldCharType="begin"/>
    </w:r>
    <w:r>
      <w:instrText xml:space="preserve"> PRINTDATE \@ DD.MM.YY </w:instrText>
    </w:r>
    <w:r>
      <w:fldChar w:fldCharType="separate"/>
    </w:r>
    <w:r w:rsidR="000865C5">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697912">
      <w:rPr>
        <w:lang w:val="en-US"/>
      </w:rPr>
      <w:t>P:\ENG\ITU-R\CONF-R\CMR15\100\117E.docx</w:t>
    </w:r>
    <w:r>
      <w:fldChar w:fldCharType="end"/>
    </w:r>
    <w:r w:rsidR="00697912">
      <w:t xml:space="preserve"> (388897)</w:t>
    </w:r>
    <w:r w:rsidRPr="0041348E">
      <w:rPr>
        <w:lang w:val="en-US"/>
      </w:rPr>
      <w:tab/>
    </w:r>
    <w:r>
      <w:fldChar w:fldCharType="begin"/>
    </w:r>
    <w:r>
      <w:instrText xml:space="preserve"> SAVEDATE \@ DD.MM.YY </w:instrText>
    </w:r>
    <w:r>
      <w:fldChar w:fldCharType="separate"/>
    </w:r>
    <w:r w:rsidR="00697912">
      <w:t>25.10.15</w:t>
    </w:r>
    <w:r>
      <w:fldChar w:fldCharType="end"/>
    </w:r>
    <w:r w:rsidRPr="0041348E">
      <w:rPr>
        <w:lang w:val="en-US"/>
      </w:rPr>
      <w:tab/>
    </w:r>
    <w:r>
      <w:fldChar w:fldCharType="begin"/>
    </w:r>
    <w:r>
      <w:instrText xml:space="preserve"> PRINTDATE \@ DD.MM.YY </w:instrText>
    </w:r>
    <w:r>
      <w:fldChar w:fldCharType="separate"/>
    </w:r>
    <w:r w:rsidR="000865C5">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6F8" w:rsidRDefault="000416F8">
      <w:r>
        <w:rPr>
          <w:b/>
        </w:rPr>
        <w:t>_______________</w:t>
      </w:r>
    </w:p>
  </w:footnote>
  <w:footnote w:type="continuationSeparator" w:id="0">
    <w:p w:rsidR="000416F8" w:rsidRDefault="00041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B04D70">
      <w:rPr>
        <w:noProof/>
      </w:rPr>
      <w:t>2</w:t>
    </w:r>
    <w:r>
      <w:fldChar w:fldCharType="end"/>
    </w:r>
  </w:p>
  <w:p w:rsidR="00E45D05" w:rsidRPr="00800972" w:rsidRDefault="000416F8" w:rsidP="00A30305">
    <w:pPr>
      <w:pStyle w:val="Header"/>
    </w:pPr>
    <w:r>
      <w:t>CMR15/117-E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2FD4A69"/>
    <w:multiLevelType w:val="hybridMultilevel"/>
    <w:tmpl w:val="F698E736"/>
    <w:lvl w:ilvl="0" w:tplc="6E145C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6F8"/>
    <w:rsid w:val="000041EA"/>
    <w:rsid w:val="00022A29"/>
    <w:rsid w:val="000355FD"/>
    <w:rsid w:val="000416F8"/>
    <w:rsid w:val="00051E39"/>
    <w:rsid w:val="00061C3A"/>
    <w:rsid w:val="0007459B"/>
    <w:rsid w:val="00077239"/>
    <w:rsid w:val="00086491"/>
    <w:rsid w:val="000865C5"/>
    <w:rsid w:val="00091346"/>
    <w:rsid w:val="000F73FF"/>
    <w:rsid w:val="00114CF7"/>
    <w:rsid w:val="00123B68"/>
    <w:rsid w:val="00123EBB"/>
    <w:rsid w:val="00126F2E"/>
    <w:rsid w:val="00146F6F"/>
    <w:rsid w:val="00190B55"/>
    <w:rsid w:val="001C389E"/>
    <w:rsid w:val="001C3B5F"/>
    <w:rsid w:val="001D058F"/>
    <w:rsid w:val="002009EA"/>
    <w:rsid w:val="00202CA0"/>
    <w:rsid w:val="00271316"/>
    <w:rsid w:val="002D58BE"/>
    <w:rsid w:val="00342A88"/>
    <w:rsid w:val="00377BD3"/>
    <w:rsid w:val="00384088"/>
    <w:rsid w:val="003A7F8C"/>
    <w:rsid w:val="003B532E"/>
    <w:rsid w:val="003C5202"/>
    <w:rsid w:val="003D0F8B"/>
    <w:rsid w:val="0041348E"/>
    <w:rsid w:val="00461086"/>
    <w:rsid w:val="00492075"/>
    <w:rsid w:val="004969AD"/>
    <w:rsid w:val="004B5C65"/>
    <w:rsid w:val="004D5D5C"/>
    <w:rsid w:val="0050139F"/>
    <w:rsid w:val="005964AB"/>
    <w:rsid w:val="005C099A"/>
    <w:rsid w:val="005C31A5"/>
    <w:rsid w:val="005E61DD"/>
    <w:rsid w:val="006023DF"/>
    <w:rsid w:val="00604FCC"/>
    <w:rsid w:val="00657DE0"/>
    <w:rsid w:val="00685313"/>
    <w:rsid w:val="00697912"/>
    <w:rsid w:val="006A2E9A"/>
    <w:rsid w:val="006A6E9B"/>
    <w:rsid w:val="007149F9"/>
    <w:rsid w:val="00733A30"/>
    <w:rsid w:val="00745AEE"/>
    <w:rsid w:val="007742CA"/>
    <w:rsid w:val="00800972"/>
    <w:rsid w:val="00811633"/>
    <w:rsid w:val="00872FC8"/>
    <w:rsid w:val="008845D0"/>
    <w:rsid w:val="008B0330"/>
    <w:rsid w:val="008B43F2"/>
    <w:rsid w:val="009274B4"/>
    <w:rsid w:val="00944A5C"/>
    <w:rsid w:val="00952A66"/>
    <w:rsid w:val="00974431"/>
    <w:rsid w:val="009C56E5"/>
    <w:rsid w:val="009E5FC8"/>
    <w:rsid w:val="009E687A"/>
    <w:rsid w:val="00A141AF"/>
    <w:rsid w:val="00A16D29"/>
    <w:rsid w:val="00A30305"/>
    <w:rsid w:val="00A31D2D"/>
    <w:rsid w:val="00A37EF0"/>
    <w:rsid w:val="00A4600A"/>
    <w:rsid w:val="00A54C25"/>
    <w:rsid w:val="00A710E7"/>
    <w:rsid w:val="00A7372E"/>
    <w:rsid w:val="00A777AB"/>
    <w:rsid w:val="00A93B85"/>
    <w:rsid w:val="00AA0B18"/>
    <w:rsid w:val="00B04D70"/>
    <w:rsid w:val="00B639E9"/>
    <w:rsid w:val="00B817CD"/>
    <w:rsid w:val="00BB3A95"/>
    <w:rsid w:val="00C0018F"/>
    <w:rsid w:val="00C20466"/>
    <w:rsid w:val="00C214ED"/>
    <w:rsid w:val="00C234E6"/>
    <w:rsid w:val="00C324A8"/>
    <w:rsid w:val="00C54517"/>
    <w:rsid w:val="00C62492"/>
    <w:rsid w:val="00C63535"/>
    <w:rsid w:val="00C97C68"/>
    <w:rsid w:val="00CA1A47"/>
    <w:rsid w:val="00CC247A"/>
    <w:rsid w:val="00CE5E47"/>
    <w:rsid w:val="00CF020F"/>
    <w:rsid w:val="00CF2B5B"/>
    <w:rsid w:val="00D14CE0"/>
    <w:rsid w:val="00D5651D"/>
    <w:rsid w:val="00D74898"/>
    <w:rsid w:val="00D801ED"/>
    <w:rsid w:val="00D936BC"/>
    <w:rsid w:val="00D962FB"/>
    <w:rsid w:val="00D96530"/>
    <w:rsid w:val="00DD44AF"/>
    <w:rsid w:val="00DE2AC3"/>
    <w:rsid w:val="00DE5692"/>
    <w:rsid w:val="00E03C94"/>
    <w:rsid w:val="00E26226"/>
    <w:rsid w:val="00E45D05"/>
    <w:rsid w:val="00E55AEF"/>
    <w:rsid w:val="00E6419D"/>
    <w:rsid w:val="00E976C1"/>
    <w:rsid w:val="00EA12E5"/>
    <w:rsid w:val="00EE6B2F"/>
    <w:rsid w:val="00F02766"/>
    <w:rsid w:val="00F05BD4"/>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68A704-D1FF-46C5-B616-6656D45A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link w:val="enumlev1Char"/>
    <w:qFormat/>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character" w:customStyle="1" w:styleId="enumlev1Char">
    <w:name w:val="enumlev1 Char"/>
    <w:basedOn w:val="DefaultParagraphFont"/>
    <w:link w:val="enumlev1"/>
    <w:rsid w:val="000416F8"/>
    <w:rPr>
      <w:rFonts w:ascii="Times New Roman" w:hAnsi="Times New Roman"/>
      <w:sz w:val="24"/>
      <w:lang w:val="en-GB" w:eastAsia="en-US"/>
    </w:rPr>
  </w:style>
  <w:style w:type="paragraph" w:styleId="ListParagraph">
    <w:name w:val="List Paragraph"/>
    <w:basedOn w:val="Normal"/>
    <w:uiPriority w:val="34"/>
    <w:qFormat/>
    <w:rsid w:val="000416F8"/>
    <w:pPr>
      <w:ind w:leftChars="400" w:left="840"/>
    </w:pPr>
    <w:rPr>
      <w:rFonts w:eastAsia="MS Mincho"/>
    </w:rPr>
  </w:style>
  <w:style w:type="character" w:customStyle="1" w:styleId="Heading1Char">
    <w:name w:val="Heading 1 Char"/>
    <w:basedOn w:val="DefaultParagraphFont"/>
    <w:link w:val="Heading1"/>
    <w:rsid w:val="000416F8"/>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CBD40-E14C-4959-A3FB-B16EDE521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16</TotalTime>
  <Pages>3</Pages>
  <Words>956</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6141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BR</dc:creator>
  <cp:keywords/>
  <cp:lastModifiedBy>Borel, Helen Nicol</cp:lastModifiedBy>
  <cp:revision>6</cp:revision>
  <cp:lastPrinted>2015-10-21T11:41:00Z</cp:lastPrinted>
  <dcterms:created xsi:type="dcterms:W3CDTF">2015-10-25T10:25:00Z</dcterms:created>
  <dcterms:modified xsi:type="dcterms:W3CDTF">2015-10-28T23:41:00Z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