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118(Add.9)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19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2A2C96" w:rsidP="00E55816">
            <w:pPr>
              <w:pStyle w:val="Source"/>
            </w:pPr>
            <w:r>
              <w:t xml:space="preserve">Indonesia (Republic of), </w:t>
            </w:r>
            <w:r w:rsidR="00884D60">
              <w:t>Malaysia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1.9.2</w:t>
            </w:r>
          </w:p>
        </w:tc>
      </w:tr>
    </w:tbl>
    <w:bookmarkEnd w:id="6"/>
    <w:bookmarkEnd w:id="7"/>
    <w:p w:rsidR="00ED71D1" w:rsidRPr="009A2B70" w:rsidRDefault="0079401A" w:rsidP="0025055E">
      <w:r w:rsidRPr="009A2B70">
        <w:t>1.9</w:t>
      </w:r>
      <w:r w:rsidRPr="009A2B70">
        <w:tab/>
        <w:t xml:space="preserve">to consider, in </w:t>
      </w:r>
      <w:r w:rsidRPr="0025055E">
        <w:t>accordance</w:t>
      </w:r>
      <w:r w:rsidRPr="009A2B70">
        <w:t xml:space="preserve">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ED71D1" w:rsidRDefault="0079401A" w:rsidP="008F442E">
      <w:pPr>
        <w:overflowPunct/>
        <w:autoSpaceDE/>
        <w:autoSpaceDN/>
        <w:adjustRightInd/>
        <w:spacing w:before="100"/>
        <w:textAlignment w:val="auto"/>
      </w:pPr>
      <w:r w:rsidRPr="009A2B70">
        <w:t>1.9.2</w:t>
      </w:r>
      <w:r w:rsidRPr="009A2B70">
        <w:tab/>
        <w:t>the possibility of allocating the bands 7 375-7 750 MHz and 8 025-8 400 MHz to the maritime-mobile satellite service and additional regulatory measures, depending on the results of appropriate studies;</w:t>
      </w:r>
    </w:p>
    <w:p w:rsidR="00685527" w:rsidRPr="009A2B70" w:rsidRDefault="00685527" w:rsidP="00685527"/>
    <w:p w:rsidR="002A2C96" w:rsidRPr="00F26E16" w:rsidRDefault="002A2C96" w:rsidP="002A2C96">
      <w:pPr>
        <w:pStyle w:val="Headingb"/>
        <w:rPr>
          <w:lang w:val="en-US"/>
        </w:rPr>
      </w:pPr>
      <w:r w:rsidRPr="00F26E16">
        <w:rPr>
          <w:lang w:val="en-US"/>
        </w:rPr>
        <w:t>Introduction</w:t>
      </w:r>
    </w:p>
    <w:p w:rsidR="002A2C96" w:rsidRPr="0079401A" w:rsidRDefault="002A2C96" w:rsidP="0079401A">
      <w:pPr>
        <w:rPr>
          <w:lang w:val="en-AU" w:eastAsia="ko-KR"/>
        </w:rPr>
      </w:pPr>
      <w:r>
        <w:rPr>
          <w:lang w:val="en-AU" w:eastAsia="ko-KR"/>
        </w:rPr>
        <w:t>Indonesia and Malaysia</w:t>
      </w:r>
      <w:r w:rsidRPr="00184447">
        <w:rPr>
          <w:rFonts w:hint="eastAsia"/>
          <w:lang w:val="en-AU" w:eastAsia="ko-KR"/>
        </w:rPr>
        <w:t xml:space="preserve"> oppose the new allocation to MMSS in the band </w:t>
      </w:r>
      <w:r>
        <w:rPr>
          <w:lang w:val="en-AU" w:eastAsia="ko-KR"/>
        </w:rPr>
        <w:t xml:space="preserve">7 375-7 750 MHz and </w:t>
      </w:r>
      <w:r>
        <w:rPr>
          <w:rFonts w:hint="eastAsia"/>
          <w:lang w:val="en-AU" w:eastAsia="ko-KR"/>
        </w:rPr>
        <w:t>8</w:t>
      </w:r>
      <w:r>
        <w:rPr>
          <w:lang w:val="en-AU" w:eastAsia="ko-KR"/>
        </w:rPr>
        <w:t> </w:t>
      </w:r>
      <w:r>
        <w:rPr>
          <w:rFonts w:hint="eastAsia"/>
          <w:lang w:val="en-AU" w:eastAsia="ko-KR"/>
        </w:rPr>
        <w:t>025</w:t>
      </w:r>
      <w:r>
        <w:rPr>
          <w:lang w:val="en-AU" w:eastAsia="ko-KR"/>
        </w:rPr>
        <w:noBreakHyphen/>
      </w:r>
      <w:r>
        <w:rPr>
          <w:rFonts w:hint="eastAsia"/>
          <w:lang w:val="en-AU" w:eastAsia="ko-KR"/>
        </w:rPr>
        <w:t>8</w:t>
      </w:r>
      <w:r>
        <w:rPr>
          <w:lang w:val="en-AU" w:eastAsia="ko-KR"/>
        </w:rPr>
        <w:t> </w:t>
      </w:r>
      <w:r w:rsidRPr="00184447">
        <w:rPr>
          <w:rFonts w:hint="eastAsia"/>
          <w:lang w:val="en-AU" w:eastAsia="ko-KR"/>
        </w:rPr>
        <w:t xml:space="preserve">400 </w:t>
      </w:r>
      <w:proofErr w:type="spellStart"/>
      <w:r w:rsidRPr="00184447">
        <w:rPr>
          <w:rFonts w:hint="eastAsia"/>
          <w:lang w:val="en-AU" w:eastAsia="ko-KR"/>
        </w:rPr>
        <w:t>MHz.</w:t>
      </w:r>
      <w:proofErr w:type="spellEnd"/>
      <w:r>
        <w:rPr>
          <w:lang w:val="en-AU" w:eastAsia="ko-KR"/>
        </w:rPr>
        <w:t xml:space="preserve"> Hence, Indonesia and Malaysia support no change in Radio Regulations.</w:t>
      </w:r>
      <w:r w:rsidRPr="00184447">
        <w:rPr>
          <w:rFonts w:hint="eastAsia"/>
          <w:lang w:val="en-AU" w:eastAsia="ko-KR"/>
        </w:rPr>
        <w:t xml:space="preserve"> </w:t>
      </w:r>
      <w:r w:rsidRPr="0079401A">
        <w:rPr>
          <w:lang w:val="en-AU" w:eastAsia="ko-KR"/>
        </w:rPr>
        <w:t>Furthermore</w:t>
      </w:r>
      <w:r w:rsidRPr="0079401A">
        <w:rPr>
          <w:rFonts w:hint="eastAsia"/>
          <w:lang w:val="en-AU" w:eastAsia="ko-KR"/>
        </w:rPr>
        <w:t xml:space="preserve">, </w:t>
      </w:r>
      <w:r w:rsidRPr="0079401A">
        <w:rPr>
          <w:lang w:val="en-AU" w:eastAsia="ko-KR"/>
        </w:rPr>
        <w:t>Indonesia and Malaysia also support the suppression</w:t>
      </w:r>
      <w:r w:rsidRPr="0079401A">
        <w:rPr>
          <w:rFonts w:hint="eastAsia"/>
          <w:lang w:val="en-AU" w:eastAsia="ko-KR"/>
        </w:rPr>
        <w:t xml:space="preserve"> of the Resolution 758 (WRC</w:t>
      </w:r>
      <w:r w:rsidRPr="0079401A">
        <w:rPr>
          <w:lang w:val="en-AU" w:eastAsia="ko-KR"/>
        </w:rPr>
        <w:noBreakHyphen/>
      </w:r>
      <w:r w:rsidRPr="0079401A">
        <w:rPr>
          <w:rFonts w:hint="eastAsia"/>
          <w:lang w:val="en-AU" w:eastAsia="ko-KR"/>
        </w:rPr>
        <w:t>12).</w:t>
      </w:r>
    </w:p>
    <w:p w:rsidR="002A2C96" w:rsidRPr="00F26E16" w:rsidRDefault="002A2C96" w:rsidP="002A2C96">
      <w:pPr>
        <w:pStyle w:val="Headingb"/>
        <w:rPr>
          <w:lang w:val="en-US" w:eastAsia="ko-KR"/>
        </w:rPr>
      </w:pPr>
      <w:r w:rsidRPr="00F26E16">
        <w:rPr>
          <w:rFonts w:hint="eastAsia"/>
          <w:lang w:val="en-US" w:eastAsia="ko-KR"/>
        </w:rPr>
        <w:t>Proposals</w:t>
      </w:r>
    </w:p>
    <w:p w:rsidR="00187BD9" w:rsidRPr="0025055E" w:rsidRDefault="00187BD9" w:rsidP="0025055E">
      <w:r w:rsidRPr="0025055E">
        <w:br w:type="page"/>
      </w:r>
    </w:p>
    <w:p w:rsidR="009B463A" w:rsidRDefault="0079401A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79401A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79401A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156CF0" w:rsidRDefault="0079401A">
      <w:pPr>
        <w:pStyle w:val="Proposal"/>
      </w:pPr>
      <w:r>
        <w:rPr>
          <w:u w:val="single"/>
        </w:rPr>
        <w:t>NOC</w:t>
      </w:r>
      <w:r>
        <w:tab/>
        <w:t>INS/MLA/118A9A2/1</w:t>
      </w:r>
    </w:p>
    <w:p w:rsidR="009B463A" w:rsidRPr="007915C9" w:rsidRDefault="0079401A" w:rsidP="009B463A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9401A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9401A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9401A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9401A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7 300-7 450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</w:rPr>
              <w:t>MOBILE except aeronautical mobile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5.461</w:t>
            </w:r>
          </w:p>
        </w:tc>
      </w:tr>
      <w:tr w:rsidR="009B463A" w:rsidRPr="0068552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7 450-7 550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METEOROLOGICAL-SATELLITE (space-to-Earth)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 w:rsidRPr="008A2589">
              <w:rPr>
                <w:color w:val="000000"/>
                <w:lang w:val="fr-CH"/>
              </w:rPr>
              <w:t xml:space="preserve">MOBILE </w:t>
            </w:r>
            <w:proofErr w:type="spellStart"/>
            <w:r w:rsidRPr="008A2589">
              <w:rPr>
                <w:color w:val="000000"/>
                <w:lang w:val="fr-CH"/>
              </w:rPr>
              <w:t>except</w:t>
            </w:r>
            <w:proofErr w:type="spellEnd"/>
            <w:r w:rsidRPr="008A2589">
              <w:rPr>
                <w:color w:val="000000"/>
                <w:lang w:val="fr-CH"/>
              </w:rPr>
              <w:t xml:space="preserve"> </w:t>
            </w:r>
            <w:proofErr w:type="spellStart"/>
            <w:r w:rsidRPr="008A2589">
              <w:rPr>
                <w:color w:val="000000"/>
                <w:lang w:val="fr-CH"/>
              </w:rPr>
              <w:t>aeronautical</w:t>
            </w:r>
            <w:proofErr w:type="spellEnd"/>
            <w:r w:rsidRPr="008A2589">
              <w:rPr>
                <w:color w:val="000000"/>
                <w:lang w:val="fr-CH"/>
              </w:rPr>
              <w:t xml:space="preserve"> mobile</w:t>
            </w:r>
          </w:p>
          <w:p w:rsidR="009B463A" w:rsidRPr="008A2589" w:rsidRDefault="0079401A" w:rsidP="00477577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rStyle w:val="Artref"/>
                <w:color w:val="000000"/>
                <w:lang w:val="fr-CH"/>
              </w:rPr>
              <w:t>5.461A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7 550-7 750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(space-to-Earth)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</w:rPr>
              <w:t>MOBILE except aeronautical mobile</w:t>
            </w:r>
          </w:p>
        </w:tc>
      </w:tr>
    </w:tbl>
    <w:p w:rsidR="00156CF0" w:rsidRDefault="0079401A">
      <w:pPr>
        <w:pStyle w:val="Reasons"/>
      </w:pPr>
      <w:r>
        <w:rPr>
          <w:b/>
        </w:rPr>
        <w:t>Reasons:</w:t>
      </w:r>
      <w:r>
        <w:tab/>
      </w:r>
      <w:r w:rsidR="002A2C96">
        <w:t xml:space="preserve">No change in the band 7 375-7 750 MHz due to </w:t>
      </w:r>
      <w:proofErr w:type="spellStart"/>
      <w:r w:rsidR="002A2C96">
        <w:t>to</w:t>
      </w:r>
      <w:proofErr w:type="spellEnd"/>
      <w:r w:rsidR="002A2C96">
        <w:t xml:space="preserve"> incompatibility with existing services.</w:t>
      </w:r>
    </w:p>
    <w:p w:rsidR="00156CF0" w:rsidRDefault="0079401A">
      <w:pPr>
        <w:pStyle w:val="Proposal"/>
      </w:pPr>
      <w:r>
        <w:rPr>
          <w:u w:val="single"/>
        </w:rPr>
        <w:t>NOC</w:t>
      </w:r>
      <w:r>
        <w:tab/>
        <w:t>INS/MLA/118A9A2/2</w:t>
      </w:r>
    </w:p>
    <w:p w:rsidR="009B463A" w:rsidRPr="007915C9" w:rsidRDefault="0079401A" w:rsidP="009B463A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9401A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9401A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9401A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9401A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8 025-8 175</w:t>
            </w:r>
            <w:r>
              <w:rPr>
                <w:color w:val="000000"/>
                <w:lang w:val="en-AU"/>
              </w:rPr>
              <w:tab/>
              <w:t>EARTH EXPLORATION-SATELLITE (space-to-Earth)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(Earth-to-space)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MOBILE  </w:t>
            </w:r>
            <w:r>
              <w:rPr>
                <w:rStyle w:val="Artref"/>
                <w:color w:val="000000"/>
                <w:lang w:val="en-AU"/>
              </w:rPr>
              <w:t>5.463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5.462A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bookmarkStart w:id="10" w:name="_GoBack" w:colFirst="0" w:colLast="0"/>
            <w:r w:rsidRPr="008D45E8">
              <w:rPr>
                <w:rStyle w:val="Tablefreq"/>
              </w:rPr>
              <w:t>8 175-8 215</w:t>
            </w:r>
            <w:r w:rsidRPr="004A3091">
              <w:tab/>
            </w:r>
            <w:r>
              <w:rPr>
                <w:color w:val="000000"/>
                <w:lang w:val="en-AU"/>
              </w:rPr>
              <w:t>EARTH EXPLORATION-SATELLITE (space-to-Earth)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(Earth-to-space)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METEOROLOGICAL-SATELLITE (Earth-to-space)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MOBILE  </w:t>
            </w:r>
            <w:r>
              <w:rPr>
                <w:rStyle w:val="Artref"/>
                <w:color w:val="000000"/>
                <w:lang w:val="en-AU"/>
              </w:rPr>
              <w:t>5.463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5.462A</w:t>
            </w:r>
          </w:p>
        </w:tc>
      </w:tr>
      <w:bookmarkEnd w:id="10"/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4A3091" w:rsidRDefault="0079401A" w:rsidP="00477577">
            <w:pPr>
              <w:pStyle w:val="TableTextS5"/>
              <w:spacing w:before="30" w:after="30"/>
            </w:pPr>
            <w:r w:rsidRPr="008D45E8">
              <w:rPr>
                <w:rStyle w:val="Tablefreq"/>
              </w:rPr>
              <w:t>8 215-8 400</w:t>
            </w:r>
            <w:r w:rsidRPr="004A3091">
              <w:tab/>
            </w:r>
            <w:r>
              <w:rPr>
                <w:color w:val="000000"/>
                <w:lang w:val="en-AU"/>
              </w:rPr>
              <w:t>EARTH EXPLORATION-SATELLITE (space-to-Earth)</w:t>
            </w:r>
          </w:p>
          <w:p w:rsidR="009B463A" w:rsidRPr="004A3091" w:rsidRDefault="0079401A" w:rsidP="00477577">
            <w:pPr>
              <w:pStyle w:val="TableTextS5"/>
              <w:spacing w:before="30" w:after="30"/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FIXED-SATELLITE (Earth-to-space)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MOBILE  </w:t>
            </w:r>
            <w:r>
              <w:rPr>
                <w:rStyle w:val="Artref"/>
                <w:color w:val="000000"/>
                <w:lang w:val="en-AU"/>
              </w:rPr>
              <w:t>5.463</w:t>
            </w:r>
          </w:p>
          <w:p w:rsidR="009B463A" w:rsidRDefault="0079401A" w:rsidP="00477577">
            <w:pPr>
              <w:pStyle w:val="TableTextS5"/>
              <w:spacing w:before="30" w:after="30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5.462A</w:t>
            </w:r>
          </w:p>
        </w:tc>
      </w:tr>
    </w:tbl>
    <w:p w:rsidR="00156CF0" w:rsidRDefault="0079401A">
      <w:pPr>
        <w:pStyle w:val="Reasons"/>
      </w:pPr>
      <w:r>
        <w:rPr>
          <w:b/>
        </w:rPr>
        <w:lastRenderedPageBreak/>
        <w:t>Reasons:</w:t>
      </w:r>
      <w:r>
        <w:tab/>
      </w:r>
      <w:r w:rsidR="002A2C96">
        <w:t xml:space="preserve">No change in the band 8 025-8 400 MHz due to </w:t>
      </w:r>
      <w:proofErr w:type="spellStart"/>
      <w:r w:rsidR="002A2C96">
        <w:t>to</w:t>
      </w:r>
      <w:proofErr w:type="spellEnd"/>
      <w:r w:rsidR="002A2C96">
        <w:t xml:space="preserve"> incompatibility with existing services.</w:t>
      </w:r>
    </w:p>
    <w:p w:rsidR="00156CF0" w:rsidRDefault="0079401A">
      <w:pPr>
        <w:pStyle w:val="Proposal"/>
      </w:pPr>
      <w:r>
        <w:t>SUP</w:t>
      </w:r>
      <w:r>
        <w:tab/>
        <w:t>INS/MLA/118A9A2/3</w:t>
      </w:r>
    </w:p>
    <w:p w:rsidR="003638D8" w:rsidRPr="006905BC" w:rsidRDefault="0079401A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79401A" w:rsidP="00651EBE">
      <w:pPr>
        <w:pStyle w:val="Restitle"/>
      </w:pPr>
      <w:bookmarkStart w:id="11" w:name="_Toc327364581"/>
      <w:r w:rsidRPr="006905BC">
        <w:t>Allocation to the fixed-satellite service and the maritime-</w:t>
      </w:r>
      <w:r w:rsidRPr="006905BC">
        <w:br/>
        <w:t>mobile satellite service in the 7/8 GHz range</w:t>
      </w:r>
      <w:bookmarkEnd w:id="11"/>
    </w:p>
    <w:p w:rsidR="00156CF0" w:rsidRDefault="0079401A" w:rsidP="002A2C96">
      <w:pPr>
        <w:pStyle w:val="Reasons"/>
        <w:rPr>
          <w:lang w:eastAsia="ko-KR"/>
        </w:rPr>
      </w:pPr>
      <w:r>
        <w:rPr>
          <w:b/>
        </w:rPr>
        <w:t>Reasons:</w:t>
      </w:r>
      <w:r>
        <w:tab/>
      </w:r>
      <w:r w:rsidR="002A2C96">
        <w:rPr>
          <w:rFonts w:hint="eastAsia"/>
          <w:lang w:eastAsia="ko-KR"/>
        </w:rPr>
        <w:t xml:space="preserve">Further </w:t>
      </w:r>
      <w:r w:rsidR="002A2C96">
        <w:rPr>
          <w:lang w:eastAsia="ko-KR"/>
        </w:rPr>
        <w:t>consideration</w:t>
      </w:r>
      <w:r w:rsidR="002A2C96">
        <w:rPr>
          <w:rFonts w:hint="eastAsia"/>
          <w:lang w:eastAsia="ko-KR"/>
        </w:rPr>
        <w:t xml:space="preserve"> and/or study are not needed any more.</w:t>
      </w:r>
    </w:p>
    <w:p w:rsidR="002A2C96" w:rsidRDefault="002A2C96">
      <w:pPr>
        <w:jc w:val="center"/>
      </w:pPr>
      <w:r>
        <w:t>______________</w:t>
      </w:r>
    </w:p>
    <w:sectPr w:rsidR="002A2C9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9401A">
      <w:rPr>
        <w:noProof/>
        <w:lang w:val="en-US"/>
      </w:rPr>
      <w:t>Y:\APP\BR\POOL\WRC-15\DOC (Contributions)\101-199\118ADD09ADD2E.docx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5527">
      <w:rPr>
        <w:noProof/>
      </w:rPr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401A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27" w:rsidRPr="0041348E" w:rsidRDefault="00685527" w:rsidP="00685527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P:\ENG\ITU-R\CONF-R\CMR15\100\118ADD09ADD2E.docx</w:t>
    </w:r>
    <w:r>
      <w:fldChar w:fldCharType="end"/>
    </w:r>
    <w:r>
      <w:t xml:space="preserve"> (388914)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85527">
      <w:rPr>
        <w:lang w:val="en-US"/>
      </w:rPr>
      <w:t>P:\ENG\ITU-R\CONF-R\CMR15\100\118ADD09ADD2E.docx</w:t>
    </w:r>
    <w:r>
      <w:fldChar w:fldCharType="end"/>
    </w:r>
    <w:r w:rsidR="00685527">
      <w:t xml:space="preserve"> (388914)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5527"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5527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85527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118(Add.9)(Add.2)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511E9"/>
    <w:rsid w:val="00156CF0"/>
    <w:rsid w:val="00187BD9"/>
    <w:rsid w:val="00190B55"/>
    <w:rsid w:val="001C3B5F"/>
    <w:rsid w:val="001D058F"/>
    <w:rsid w:val="002009EA"/>
    <w:rsid w:val="00202CA0"/>
    <w:rsid w:val="00216B6D"/>
    <w:rsid w:val="00241FA2"/>
    <w:rsid w:val="0025055E"/>
    <w:rsid w:val="00271316"/>
    <w:rsid w:val="002A2C9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85527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9401A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26E16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CD224CA-06FD-43BC-9356-62BA9019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55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uiPriority w:val="34"/>
    <w:qFormat/>
    <w:rsid w:val="002A2C96"/>
    <w:pPr>
      <w:ind w:leftChars="400" w:left="80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R15-WRC15-C-0118!A9-A2!MSW-E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3B9A1-3968-4F58-BF64-407EEE4F2B62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2a1a8c5-2265-4ebc-b7a0-2071e2c5c9bb"/>
    <ds:schemaRef ds:uri="http://purl.org/dc/elements/1.1/"/>
    <ds:schemaRef ds:uri="http://schemas.microsoft.com/office/infopath/2007/PartnerControl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F041E6F0-8120-4980-A724-E936B44E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4</TotalTime>
  <Pages>3</Pages>
  <Words>306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R15-WRC15-C-0118!A9-A2!MSW-E</vt:lpstr>
    </vt:vector>
  </TitlesOfParts>
  <Manager>General Secretariat - Pool</Manager>
  <Company>International Telecommunication Union (ITU)</Company>
  <LinksUpToDate>false</LinksUpToDate>
  <CharactersWithSpaces>2372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R15-WRC15-C-0118!A9-A2!MSW-E</dc:title>
  <dc:subject>World Radiocommunication Conference - 2015</dc:subject>
  <dc:creator>Documents Proposals Manager (DPM)</dc:creator>
  <cp:keywords>DPM_v5.2015.10.22_prod</cp:keywords>
  <dc:description>Uploaded on 2015.07.06</dc:description>
  <cp:lastModifiedBy>Hourican, Maria</cp:lastModifiedBy>
  <cp:revision>4</cp:revision>
  <cp:lastPrinted>2015-10-22T13:13:00Z</cp:lastPrinted>
  <dcterms:created xsi:type="dcterms:W3CDTF">2015-10-25T10:39:00Z</dcterms:created>
  <dcterms:modified xsi:type="dcterms:W3CDTF">2015-10-28T23:38:00Z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