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48639A">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48639A">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48639A">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48639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48639A">
            <w:pPr>
              <w:rPr>
                <w:rFonts w:ascii="Verdana" w:hAnsi="Verdana"/>
                <w:b/>
                <w:bCs/>
                <w:sz w:val="20"/>
              </w:rPr>
            </w:pPr>
          </w:p>
        </w:tc>
        <w:tc>
          <w:tcPr>
            <w:tcW w:w="3120" w:type="dxa"/>
            <w:tcBorders>
              <w:top w:val="single" w:sz="12" w:space="0" w:color="auto"/>
            </w:tcBorders>
          </w:tcPr>
          <w:p w:rsidR="00622560" w:rsidRPr="00CB4E5A" w:rsidRDefault="00622560" w:rsidP="0048639A">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951B0" w:rsidP="0048639A">
            <w:pPr>
              <w:spacing w:before="0"/>
              <w:rPr>
                <w:rFonts w:ascii="Verdana" w:hAnsi="Verdana"/>
                <w:b/>
                <w:sz w:val="20"/>
              </w:rPr>
            </w:pPr>
            <w:r>
              <w:rPr>
                <w:rFonts w:ascii="Verdana" w:hAnsi="Verdana" w:hint="eastAsia"/>
                <w:b/>
                <w:sz w:val="20"/>
                <w:lang w:eastAsia="zh-CN"/>
              </w:rPr>
              <w:t>第</w:t>
            </w:r>
            <w:r>
              <w:rPr>
                <w:rFonts w:ascii="Verdana" w:hAnsi="Verdana" w:hint="eastAsia"/>
                <w:b/>
                <w:sz w:val="20"/>
                <w:lang w:eastAsia="zh-CN"/>
              </w:rPr>
              <w:t>5</w:t>
            </w:r>
            <w:r>
              <w:rPr>
                <w:rFonts w:ascii="Verdana" w:hAnsi="Verdana" w:hint="eastAsia"/>
                <w:b/>
                <w:sz w:val="20"/>
                <w:lang w:eastAsia="zh-CN"/>
              </w:rPr>
              <w:t>委员会</w:t>
            </w:r>
          </w:p>
        </w:tc>
        <w:tc>
          <w:tcPr>
            <w:tcW w:w="3120" w:type="dxa"/>
            <w:shd w:val="clear" w:color="auto" w:fill="auto"/>
          </w:tcPr>
          <w:p w:rsidR="00622560" w:rsidRPr="00622560" w:rsidRDefault="000273B7" w:rsidP="0048639A">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119</w:t>
            </w:r>
            <w:r w:rsidR="00305C51">
              <w:rPr>
                <w:rFonts w:ascii="Verdana" w:hAnsi="Verdana" w:cs="Traditional Arabic"/>
                <w:b/>
                <w:sz w:val="20"/>
              </w:rPr>
              <w:t>(Rev.2</w:t>
            </w:r>
            <w:r w:rsidR="004E6849">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48639A">
            <w:pPr>
              <w:spacing w:before="0"/>
              <w:rPr>
                <w:rFonts w:ascii="Verdana" w:hAnsi="Verdana"/>
                <w:b/>
                <w:smallCaps/>
                <w:sz w:val="20"/>
              </w:rPr>
            </w:pPr>
          </w:p>
        </w:tc>
        <w:tc>
          <w:tcPr>
            <w:tcW w:w="3120" w:type="dxa"/>
            <w:shd w:val="clear" w:color="auto" w:fill="auto"/>
          </w:tcPr>
          <w:p w:rsidR="008221A4" w:rsidRPr="00622560" w:rsidRDefault="008221A4" w:rsidP="0048639A">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537EFA">
              <w:rPr>
                <w:rFonts w:ascii="Verdana" w:hAnsi="Verdana"/>
                <w:b/>
                <w:bCs/>
                <w:sz w:val="20"/>
              </w:rPr>
              <w:t>1</w:t>
            </w:r>
            <w:r w:rsidR="00537EFA">
              <w:rPr>
                <w:rFonts w:ascii="Verdana" w:hAnsi="Verdana" w:hint="eastAsia"/>
                <w:b/>
                <w:bCs/>
                <w:sz w:val="20"/>
                <w:lang w:eastAsia="zh-CN"/>
              </w:rPr>
              <w:t>1</w:t>
            </w:r>
            <w:r w:rsidRPr="000273B7">
              <w:rPr>
                <w:rFonts w:ascii="Verdana" w:hAnsi="Verdana"/>
                <w:b/>
                <w:bCs/>
                <w:sz w:val="20"/>
              </w:rPr>
              <w:t>月</w:t>
            </w:r>
            <w:r w:rsidR="00537EFA">
              <w:rPr>
                <w:rFonts w:ascii="Verdana" w:hAnsi="Verdana"/>
                <w:b/>
                <w:bCs/>
                <w:sz w:val="20"/>
              </w:rPr>
              <w:t>1</w:t>
            </w:r>
            <w:r w:rsidR="00820425">
              <w:rPr>
                <w:rFonts w:ascii="Verdana" w:hAnsi="Verdana"/>
                <w:b/>
                <w:bCs/>
                <w:sz w:val="20"/>
                <w:lang w:eastAsia="zh-CN"/>
              </w:rPr>
              <w:t>3</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48639A">
            <w:pPr>
              <w:spacing w:before="0"/>
              <w:rPr>
                <w:rFonts w:ascii="Verdana" w:hAnsi="Verdana"/>
                <w:b/>
                <w:bCs/>
                <w:sz w:val="20"/>
              </w:rPr>
            </w:pPr>
          </w:p>
        </w:tc>
        <w:tc>
          <w:tcPr>
            <w:tcW w:w="3120" w:type="dxa"/>
          </w:tcPr>
          <w:p w:rsidR="008221A4" w:rsidRPr="00622560" w:rsidRDefault="008221A4" w:rsidP="0048639A">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48639A">
            <w:pPr>
              <w:spacing w:before="0"/>
              <w:rPr>
                <w:rFonts w:ascii="Verdana" w:hAnsi="Verdana"/>
                <w:b/>
                <w:bCs/>
                <w:sz w:val="20"/>
              </w:rPr>
            </w:pPr>
          </w:p>
        </w:tc>
      </w:tr>
      <w:tr w:rsidR="008221A4">
        <w:trPr>
          <w:cantSplit/>
        </w:trPr>
        <w:tc>
          <w:tcPr>
            <w:tcW w:w="10031" w:type="dxa"/>
            <w:gridSpan w:val="2"/>
          </w:tcPr>
          <w:p w:rsidR="008221A4" w:rsidRPr="002B1840" w:rsidRDefault="00E7557D" w:rsidP="009E586E">
            <w:pPr>
              <w:pStyle w:val="Source"/>
              <w:rPr>
                <w:lang w:eastAsia="zh-CN"/>
              </w:rPr>
            </w:pPr>
            <w:bookmarkStart w:id="4" w:name="dsource" w:colFirst="0" w:colLast="0"/>
            <w:r>
              <w:rPr>
                <w:rFonts w:hint="eastAsia"/>
                <w:lang w:eastAsia="zh-CN"/>
              </w:rPr>
              <w:t>奥地利</w:t>
            </w:r>
            <w:r w:rsidR="002B1840" w:rsidRPr="002B1840">
              <w:rPr>
                <w:rFonts w:hint="eastAsia"/>
                <w:lang w:eastAsia="zh-CN"/>
              </w:rPr>
              <w:t>/</w:t>
            </w:r>
            <w:r w:rsidR="009E586E" w:rsidRPr="000273B7">
              <w:rPr>
                <w:lang w:eastAsia="zh-CN"/>
              </w:rPr>
              <w:t>比利时</w:t>
            </w:r>
            <w:r w:rsidR="009E586E" w:rsidRPr="000273B7">
              <w:rPr>
                <w:lang w:eastAsia="zh-CN"/>
              </w:rPr>
              <w:t>/</w:t>
            </w:r>
            <w:r w:rsidR="009E586E" w:rsidRPr="000273B7">
              <w:rPr>
                <w:lang w:eastAsia="zh-CN"/>
              </w:rPr>
              <w:t>丹麦</w:t>
            </w:r>
            <w:r w:rsidR="009E586E" w:rsidRPr="000273B7">
              <w:rPr>
                <w:lang w:eastAsia="zh-CN"/>
              </w:rPr>
              <w:t>/</w:t>
            </w:r>
            <w:r w:rsidR="009E586E" w:rsidRPr="000273B7">
              <w:rPr>
                <w:lang w:eastAsia="zh-CN"/>
              </w:rPr>
              <w:t>爱沙尼亚（共和国）</w:t>
            </w:r>
            <w:r w:rsidR="009E586E" w:rsidRPr="000273B7">
              <w:rPr>
                <w:lang w:eastAsia="zh-CN"/>
              </w:rPr>
              <w:t>/</w:t>
            </w:r>
            <w:r w:rsidR="008221A4" w:rsidRPr="002B1840">
              <w:rPr>
                <w:lang w:eastAsia="zh-CN"/>
              </w:rPr>
              <w:t>法国</w:t>
            </w:r>
            <w:r w:rsidR="002B1840" w:rsidRPr="002B1840">
              <w:rPr>
                <w:rFonts w:hint="eastAsia"/>
                <w:lang w:eastAsia="zh-CN"/>
              </w:rPr>
              <w:t>/</w:t>
            </w:r>
            <w:r w:rsidR="002B1840" w:rsidRPr="002B1840">
              <w:rPr>
                <w:lang w:eastAsia="zh-CN"/>
              </w:rPr>
              <w:t>意大利</w:t>
            </w:r>
            <w:r w:rsidR="002B1840" w:rsidRPr="002B1840">
              <w:rPr>
                <w:rFonts w:hint="eastAsia"/>
                <w:lang w:eastAsia="zh-CN"/>
              </w:rPr>
              <w:t>/</w:t>
            </w:r>
            <w:r w:rsidR="009E586E" w:rsidRPr="000273B7">
              <w:rPr>
                <w:lang w:eastAsia="zh-CN"/>
              </w:rPr>
              <w:t>拉脱维亚（共和国）</w:t>
            </w:r>
            <w:r w:rsidR="009E586E" w:rsidRPr="000273B7">
              <w:rPr>
                <w:lang w:eastAsia="zh-CN"/>
              </w:rPr>
              <w:t>/</w:t>
            </w:r>
            <w:r w:rsidR="00807FEB">
              <w:rPr>
                <w:lang w:eastAsia="zh-CN"/>
              </w:rPr>
              <w:br/>
            </w:r>
            <w:r w:rsidR="002B1840" w:rsidRPr="002B1840">
              <w:rPr>
                <w:lang w:eastAsia="zh-CN"/>
              </w:rPr>
              <w:t>列支敦士登（公国）</w:t>
            </w:r>
            <w:r w:rsidR="002B1840" w:rsidRPr="002B1840">
              <w:rPr>
                <w:rFonts w:hint="eastAsia"/>
                <w:lang w:eastAsia="zh-CN"/>
              </w:rPr>
              <w:t>/</w:t>
            </w:r>
            <w:r w:rsidR="009E586E" w:rsidRPr="000273B7">
              <w:rPr>
                <w:lang w:eastAsia="zh-CN"/>
              </w:rPr>
              <w:t>立陶宛（共和国）</w:t>
            </w:r>
            <w:r w:rsidR="009E586E" w:rsidRPr="000273B7">
              <w:rPr>
                <w:lang w:eastAsia="zh-CN"/>
              </w:rPr>
              <w:t>/</w:t>
            </w:r>
            <w:r w:rsidR="002B1840" w:rsidRPr="002B1840">
              <w:rPr>
                <w:lang w:eastAsia="zh-CN"/>
              </w:rPr>
              <w:t>波兰（共和国）</w:t>
            </w:r>
            <w:r w:rsidR="002B1840" w:rsidRPr="002B1840">
              <w:rPr>
                <w:rFonts w:hint="eastAsia"/>
                <w:lang w:eastAsia="zh-CN"/>
              </w:rPr>
              <w:t>/</w:t>
            </w:r>
            <w:r w:rsidR="004E6849">
              <w:rPr>
                <w:rFonts w:hint="eastAsia"/>
                <w:lang w:eastAsia="zh-CN"/>
              </w:rPr>
              <w:t>罗马尼亚</w:t>
            </w:r>
            <w:r w:rsidR="004E6849">
              <w:rPr>
                <w:lang w:eastAsia="zh-CN"/>
              </w:rPr>
              <w:t>/</w:t>
            </w:r>
            <w:r w:rsidR="00807FEB">
              <w:rPr>
                <w:lang w:eastAsia="zh-CN"/>
              </w:rPr>
              <w:br/>
            </w:r>
            <w:r w:rsidR="008221A4" w:rsidRPr="002B1840">
              <w:rPr>
                <w:lang w:eastAsia="zh-CN"/>
              </w:rPr>
              <w:t>大不列颠及北爱尔兰联合王国</w:t>
            </w:r>
          </w:p>
        </w:tc>
      </w:tr>
      <w:tr w:rsidR="00BC19C4">
        <w:trPr>
          <w:cantSplit/>
        </w:trPr>
        <w:tc>
          <w:tcPr>
            <w:tcW w:w="10031" w:type="dxa"/>
            <w:gridSpan w:val="2"/>
          </w:tcPr>
          <w:p w:rsidR="00BC19C4" w:rsidRDefault="00BC19C4" w:rsidP="0048639A">
            <w:pPr>
              <w:pStyle w:val="Title1"/>
              <w:rPr>
                <w:lang w:eastAsia="zh-CN"/>
              </w:rPr>
            </w:pPr>
            <w:bookmarkStart w:id="5" w:name="dtitle1" w:colFirst="0" w:colLast="0"/>
            <w:bookmarkEnd w:id="4"/>
            <w:r>
              <w:rPr>
                <w:rFonts w:hint="eastAsia"/>
                <w:lang w:eastAsia="zh-CN"/>
              </w:rPr>
              <w:t>有关大会工作的提案</w:t>
            </w:r>
          </w:p>
        </w:tc>
      </w:tr>
      <w:tr w:rsidR="00BC19C4">
        <w:trPr>
          <w:cantSplit/>
        </w:trPr>
        <w:tc>
          <w:tcPr>
            <w:tcW w:w="10031" w:type="dxa"/>
            <w:gridSpan w:val="2"/>
          </w:tcPr>
          <w:p w:rsidR="00BC19C4" w:rsidRDefault="00BC19C4" w:rsidP="0048639A">
            <w:pPr>
              <w:pStyle w:val="Title2"/>
              <w:rPr>
                <w:lang w:eastAsia="zh-CN"/>
              </w:rPr>
            </w:pPr>
            <w:bookmarkStart w:id="6" w:name="dtitle2" w:colFirst="0" w:colLast="0"/>
            <w:bookmarkEnd w:id="5"/>
          </w:p>
        </w:tc>
      </w:tr>
      <w:tr w:rsidR="00BC19C4">
        <w:trPr>
          <w:cantSplit/>
        </w:trPr>
        <w:tc>
          <w:tcPr>
            <w:tcW w:w="10031" w:type="dxa"/>
            <w:gridSpan w:val="2"/>
          </w:tcPr>
          <w:p w:rsidR="00BC19C4" w:rsidRDefault="00BC19C4" w:rsidP="00A45E2D">
            <w:pPr>
              <w:pStyle w:val="Agendaitem"/>
            </w:pPr>
            <w:bookmarkStart w:id="7" w:name="dtitle3" w:colFirst="0" w:colLast="0"/>
            <w:bookmarkEnd w:id="6"/>
            <w:r w:rsidRPr="000273B7">
              <w:t>议项</w:t>
            </w:r>
            <w:r w:rsidRPr="000273B7">
              <w:t>1.6</w:t>
            </w:r>
          </w:p>
        </w:tc>
      </w:tr>
    </w:tbl>
    <w:bookmarkEnd w:id="7"/>
    <w:p w:rsidR="008B60D0" w:rsidRPr="00111152" w:rsidRDefault="002821C3" w:rsidP="00A45E2D">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1A2B55" w:rsidRDefault="001A2B55" w:rsidP="0048639A">
      <w:pPr>
        <w:rPr>
          <w:i/>
          <w:iCs/>
          <w:lang w:eastAsia="zh-CN"/>
        </w:rPr>
      </w:pPr>
      <w:r>
        <w:rPr>
          <w:rFonts w:eastAsia="STKaiti"/>
          <w:iCs/>
          <w:lang w:eastAsia="zh-CN"/>
        </w:rPr>
        <w:t>1.6.1</w:t>
      </w:r>
      <w:r>
        <w:rPr>
          <w:rFonts w:eastAsia="STKaiti"/>
          <w:iCs/>
          <w:lang w:eastAsia="zh-CN"/>
        </w:rPr>
        <w:tab/>
      </w:r>
      <w:r w:rsidRPr="001A2B55">
        <w:rPr>
          <w:rFonts w:asciiTheme="majorBidi" w:eastAsiaTheme="majorEastAsia" w:hAnsiTheme="majorBidi" w:cstheme="majorBidi"/>
          <w:lang w:eastAsia="zh-CN"/>
        </w:rPr>
        <w:t>在</w:t>
      </w:r>
      <w:r w:rsidRPr="001A2B55">
        <w:rPr>
          <w:rFonts w:asciiTheme="majorBidi" w:eastAsiaTheme="majorEastAsia" w:hAnsiTheme="majorBidi" w:cstheme="majorBidi"/>
          <w:lang w:eastAsia="zh-CN"/>
        </w:rPr>
        <w:t>1</w:t>
      </w:r>
      <w:r w:rsidRPr="001A2B55">
        <w:rPr>
          <w:rFonts w:asciiTheme="majorBidi" w:eastAsiaTheme="majorEastAsia" w:hAnsiTheme="majorBidi" w:cstheme="majorBidi"/>
          <w:lang w:eastAsia="zh-CN"/>
        </w:rPr>
        <w:t>区的</w:t>
      </w:r>
      <w:r w:rsidRPr="001A2B55">
        <w:rPr>
          <w:rFonts w:asciiTheme="majorBidi" w:eastAsiaTheme="majorEastAsia" w:hAnsiTheme="majorBidi" w:cstheme="majorBidi"/>
          <w:lang w:eastAsia="zh-CN"/>
        </w:rPr>
        <w:t>10 GHz</w:t>
      </w:r>
      <w:r w:rsidRPr="001A2B55">
        <w:rPr>
          <w:rFonts w:asciiTheme="majorBidi" w:eastAsiaTheme="majorEastAsia" w:hAnsiTheme="majorBidi" w:cstheme="majorBidi"/>
          <w:lang w:eastAsia="zh-CN"/>
        </w:rPr>
        <w:t>至</w:t>
      </w:r>
      <w:r w:rsidRPr="001A2B55">
        <w:rPr>
          <w:rFonts w:asciiTheme="majorBidi" w:eastAsiaTheme="majorEastAsia" w:hAnsiTheme="majorBidi" w:cstheme="majorBidi"/>
          <w:lang w:eastAsia="zh-CN"/>
        </w:rPr>
        <w:t>17 GHz</w:t>
      </w:r>
      <w:r w:rsidRPr="001A2B55">
        <w:rPr>
          <w:rFonts w:asciiTheme="majorBidi" w:eastAsiaTheme="majorEastAsia" w:hAnsiTheme="majorBidi" w:cstheme="majorBidi"/>
          <w:lang w:eastAsia="zh-CN"/>
        </w:rPr>
        <w:t>范围内为卫星固定业务（地对空和空对地）增加</w:t>
      </w:r>
      <w:r w:rsidRPr="001A2B55">
        <w:rPr>
          <w:rFonts w:asciiTheme="majorBidi" w:eastAsiaTheme="majorEastAsia" w:hAnsiTheme="majorBidi" w:cstheme="majorBidi"/>
          <w:lang w:eastAsia="zh-CN"/>
        </w:rPr>
        <w:t>250 MHz</w:t>
      </w:r>
      <w:r w:rsidRPr="001A2B55">
        <w:rPr>
          <w:rFonts w:asciiTheme="majorBidi" w:eastAsiaTheme="majorEastAsia" w:hAnsiTheme="majorBidi" w:cstheme="majorBidi"/>
          <w:lang w:eastAsia="zh-CN"/>
        </w:rPr>
        <w:t>；</w:t>
      </w:r>
    </w:p>
    <w:p w:rsidR="008B60D0" w:rsidRPr="00111152" w:rsidRDefault="002821C3" w:rsidP="0048639A">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8B60D0" w:rsidRDefault="002821C3" w:rsidP="002B1840">
      <w:pPr>
        <w:ind w:firstLineChars="200" w:firstLine="480"/>
        <w:rPr>
          <w:rFonts w:ascii="SimSun" w:hAnsi="SimSun" w:cs="SimSun"/>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A45E2D" w:rsidRPr="00A45E2D" w:rsidRDefault="00A45E2D" w:rsidP="0048639A">
      <w:pPr>
        <w:rPr>
          <w:lang w:eastAsia="zh-CN"/>
        </w:rPr>
      </w:pPr>
    </w:p>
    <w:p w:rsidR="002C1952" w:rsidRPr="00E7557D" w:rsidRDefault="0048639A" w:rsidP="00E7557D">
      <w:pPr>
        <w:pStyle w:val="Headingb"/>
        <w:keepNext w:val="0"/>
        <w:rPr>
          <w:rFonts w:ascii="Times New Roman Bold" w:eastAsia="Times New Roman" w:hAnsi="Times New Roman Bold" w:cs="Times New Roman Bold"/>
          <w:lang w:eastAsia="zh-CN"/>
        </w:rPr>
      </w:pPr>
      <w:r w:rsidRPr="00E7557D">
        <w:rPr>
          <w:rFonts w:ascii="SimSun" w:hAnsi="SimSun" w:cs="SimSun" w:hint="eastAsia"/>
          <w:lang w:eastAsia="zh-CN"/>
        </w:rPr>
        <w:t>引言</w:t>
      </w:r>
    </w:p>
    <w:p w:rsidR="0048639A" w:rsidRPr="0048639A" w:rsidRDefault="0048639A" w:rsidP="002B1840">
      <w:pPr>
        <w:ind w:firstLineChars="200" w:firstLine="480"/>
        <w:rPr>
          <w:lang w:val="en-US" w:eastAsia="zh-CN"/>
        </w:rPr>
      </w:pPr>
      <w:r>
        <w:rPr>
          <w:rFonts w:hint="eastAsia"/>
          <w:lang w:val="en-US" w:eastAsia="zh-CN"/>
        </w:rPr>
        <w:t>本提案</w:t>
      </w:r>
      <w:r w:rsidR="00AD2BA1">
        <w:rPr>
          <w:rFonts w:hint="eastAsia"/>
          <w:lang w:val="en-US" w:eastAsia="zh-CN"/>
        </w:rPr>
        <w:t>与</w:t>
      </w:r>
      <w:r w:rsidR="00AD2BA1">
        <w:rPr>
          <w:lang w:val="en-US" w:eastAsia="zh-CN"/>
        </w:rPr>
        <w:t>MCP [79]</w:t>
      </w:r>
      <w:r w:rsidR="00AD2BA1">
        <w:rPr>
          <w:rFonts w:hint="eastAsia"/>
          <w:lang w:val="en-US" w:eastAsia="zh-CN"/>
        </w:rPr>
        <w:t>号多国提案</w:t>
      </w:r>
      <w:r w:rsidR="00AD2BA1">
        <w:rPr>
          <w:rFonts w:hint="eastAsia"/>
          <w:lang w:val="en-US" w:eastAsia="zh-CN"/>
        </w:rPr>
        <w:t xml:space="preserve"> </w:t>
      </w:r>
      <w:r w:rsidR="00AD2BA1" w:rsidRPr="00AD2BA1">
        <w:rPr>
          <w:lang w:val="en-US" w:eastAsia="zh-CN"/>
        </w:rPr>
        <w:t>–</w:t>
      </w:r>
      <w:r w:rsidR="00AD2BA1">
        <w:rPr>
          <w:rFonts w:hint="eastAsia"/>
          <w:lang w:val="en-US" w:eastAsia="zh-CN"/>
        </w:rPr>
        <w:t xml:space="preserve"> </w:t>
      </w:r>
      <w:r w:rsidR="00AD2BA1">
        <w:rPr>
          <w:rFonts w:hint="eastAsia"/>
          <w:lang w:val="en-US" w:eastAsia="zh-CN"/>
        </w:rPr>
        <w:t>有关大会工作的提案</w:t>
      </w:r>
      <w:r w:rsidR="00AD2BA1">
        <w:rPr>
          <w:rFonts w:hint="eastAsia"/>
          <w:lang w:val="en-US" w:eastAsia="zh-CN"/>
        </w:rPr>
        <w:t xml:space="preserve"> </w:t>
      </w:r>
      <w:r w:rsidR="00AD2BA1" w:rsidRPr="00AD2BA1">
        <w:rPr>
          <w:lang w:val="en-US" w:eastAsia="zh-CN"/>
        </w:rPr>
        <w:t>–</w:t>
      </w:r>
      <w:r w:rsidR="00AD2BA1">
        <w:rPr>
          <w:rFonts w:hint="eastAsia"/>
          <w:lang w:val="en-US" w:eastAsia="zh-CN"/>
        </w:rPr>
        <w:t xml:space="preserve"> </w:t>
      </w:r>
      <w:r w:rsidR="00AD2BA1">
        <w:rPr>
          <w:rFonts w:hint="eastAsia"/>
          <w:lang w:val="en-US" w:eastAsia="zh-CN"/>
        </w:rPr>
        <w:t>议项</w:t>
      </w:r>
      <w:r w:rsidR="00AD2BA1">
        <w:rPr>
          <w:rFonts w:hint="eastAsia"/>
          <w:lang w:val="en-US" w:eastAsia="zh-CN"/>
        </w:rPr>
        <w:t>1.6</w:t>
      </w:r>
      <w:r w:rsidR="00AD2BA1">
        <w:rPr>
          <w:rFonts w:hint="eastAsia"/>
          <w:lang w:val="en-US" w:eastAsia="zh-CN"/>
        </w:rPr>
        <w:t>的目标是一致的，</w:t>
      </w:r>
      <w:r w:rsidR="00E572FA">
        <w:rPr>
          <w:rFonts w:hint="eastAsia"/>
          <w:lang w:val="en-US" w:eastAsia="zh-CN"/>
        </w:rPr>
        <w:t>其目的是对</w:t>
      </w:r>
      <w:r w:rsidR="006241FB">
        <w:rPr>
          <w:rFonts w:hint="eastAsia"/>
          <w:lang w:val="en-US" w:eastAsia="zh-CN"/>
        </w:rPr>
        <w:t>上述</w:t>
      </w:r>
      <w:r w:rsidR="00E572FA">
        <w:rPr>
          <w:rFonts w:hint="eastAsia"/>
          <w:lang w:val="en-US" w:eastAsia="zh-CN"/>
        </w:rPr>
        <w:t>文件做出进一步的考虑。</w:t>
      </w:r>
    </w:p>
    <w:p w:rsidR="006241FB" w:rsidRPr="006241FB" w:rsidRDefault="006241FB" w:rsidP="002B1840">
      <w:pPr>
        <w:ind w:firstLineChars="200" w:firstLine="480"/>
        <w:rPr>
          <w:lang w:eastAsia="zh-CN"/>
        </w:rPr>
      </w:pPr>
      <w:r w:rsidRPr="006241FB">
        <w:rPr>
          <w:rFonts w:hint="eastAsia"/>
          <w:lang w:eastAsia="zh-CN"/>
        </w:rPr>
        <w:t>根据</w:t>
      </w:r>
      <w:r w:rsidRPr="006241FB">
        <w:rPr>
          <w:rFonts w:ascii="SimSun" w:hAnsi="SimSun" w:cs="SimSun" w:hint="eastAsia"/>
          <w:lang w:eastAsia="zh-CN"/>
        </w:rPr>
        <w:t>第</w:t>
      </w:r>
      <w:r w:rsidRPr="006241FB">
        <w:rPr>
          <w:rFonts w:eastAsia="MS Mincho"/>
          <w:lang w:eastAsia="ja-JP"/>
        </w:rPr>
        <w:t>151</w:t>
      </w:r>
      <w:r w:rsidRPr="006241FB">
        <w:rPr>
          <w:rFonts w:ascii="SimSun" w:hAnsi="SimSun" w:cs="SimSun" w:hint="eastAsia"/>
          <w:lang w:eastAsia="zh-CN"/>
        </w:rPr>
        <w:t>号决议（</w:t>
      </w:r>
      <w:r w:rsidRPr="006241FB">
        <w:rPr>
          <w:lang w:eastAsia="zh-CN"/>
        </w:rPr>
        <w:t>WRC-12</w:t>
      </w:r>
      <w:r w:rsidRPr="006241FB">
        <w:rPr>
          <w:rFonts w:ascii="SimSun" w:hAnsi="SimSun" w:cs="SimSun" w:hint="eastAsia"/>
          <w:lang w:eastAsia="zh-CN"/>
        </w:rPr>
        <w:t>）和第</w:t>
      </w:r>
      <w:r w:rsidRPr="006241FB">
        <w:rPr>
          <w:rFonts w:eastAsia="MS Mincho"/>
          <w:lang w:eastAsia="ja-JP"/>
        </w:rPr>
        <w:t>152</w:t>
      </w:r>
      <w:r w:rsidRPr="006241FB">
        <w:rPr>
          <w:rFonts w:ascii="SimSun" w:hAnsi="SimSun" w:cs="SimSun" w:hint="eastAsia"/>
          <w:lang w:eastAsia="zh-CN"/>
        </w:rPr>
        <w:t>号决议（</w:t>
      </w:r>
      <w:r w:rsidRPr="006241FB">
        <w:rPr>
          <w:lang w:eastAsia="zh-CN"/>
        </w:rPr>
        <w:t>WRC-12</w:t>
      </w:r>
      <w:r w:rsidRPr="006241FB">
        <w:rPr>
          <w:rFonts w:ascii="SimSun" w:hAnsi="SimSun" w:cs="SimSun" w:hint="eastAsia"/>
          <w:lang w:eastAsia="zh-CN"/>
        </w:rPr>
        <w:t>）</w:t>
      </w:r>
      <w:r>
        <w:rPr>
          <w:rFonts w:ascii="SimSun" w:hAnsi="SimSun" w:cs="SimSun" w:hint="eastAsia"/>
          <w:lang w:eastAsia="zh-CN"/>
        </w:rPr>
        <w:t>，为了在1区的</w:t>
      </w:r>
      <w:r>
        <w:rPr>
          <w:lang w:eastAsia="zh-CN"/>
        </w:rPr>
        <w:t>10-17 GHz</w:t>
      </w:r>
      <w:r>
        <w:rPr>
          <w:rFonts w:hint="eastAsia"/>
          <w:lang w:eastAsia="zh-CN"/>
        </w:rPr>
        <w:t>频率范围内以及</w:t>
      </w:r>
      <w:r>
        <w:rPr>
          <w:rFonts w:hint="eastAsia"/>
          <w:lang w:eastAsia="zh-CN"/>
        </w:rPr>
        <w:t>2</w:t>
      </w:r>
      <w:r>
        <w:rPr>
          <w:rFonts w:hint="eastAsia"/>
          <w:lang w:eastAsia="zh-CN"/>
        </w:rPr>
        <w:t>区和</w:t>
      </w:r>
      <w:r>
        <w:rPr>
          <w:rFonts w:hint="eastAsia"/>
          <w:lang w:eastAsia="zh-CN"/>
        </w:rPr>
        <w:t>3</w:t>
      </w:r>
      <w:r>
        <w:rPr>
          <w:rFonts w:hint="eastAsia"/>
          <w:lang w:eastAsia="zh-CN"/>
        </w:rPr>
        <w:t>区的</w:t>
      </w:r>
      <w:r>
        <w:rPr>
          <w:lang w:eastAsia="zh-CN"/>
        </w:rPr>
        <w:t>13-17 GHz</w:t>
      </w:r>
      <w:r>
        <w:rPr>
          <w:rFonts w:hint="eastAsia"/>
          <w:lang w:eastAsia="zh-CN"/>
        </w:rPr>
        <w:t>频率范围内为地对空方向的卫星固定业务</w:t>
      </w:r>
      <w:r w:rsidR="00E00FB5">
        <w:rPr>
          <w:rFonts w:hint="eastAsia"/>
          <w:lang w:eastAsia="zh-CN"/>
        </w:rPr>
        <w:t>新增</w:t>
      </w:r>
      <w:r>
        <w:rPr>
          <w:rFonts w:hint="eastAsia"/>
          <w:lang w:eastAsia="zh-CN"/>
        </w:rPr>
        <w:t xml:space="preserve">250 </w:t>
      </w:r>
      <w:r>
        <w:rPr>
          <w:lang w:eastAsia="zh-CN"/>
        </w:rPr>
        <w:t>MHz</w:t>
      </w:r>
      <w:r>
        <w:rPr>
          <w:rFonts w:hint="eastAsia"/>
          <w:lang w:eastAsia="zh-CN"/>
        </w:rPr>
        <w:t>用于主要业务划分，</w:t>
      </w:r>
      <w:r w:rsidR="007752FD">
        <w:rPr>
          <w:rFonts w:hint="eastAsia"/>
          <w:lang w:eastAsia="zh-CN"/>
        </w:rPr>
        <w:t>现已</w:t>
      </w:r>
      <w:r>
        <w:rPr>
          <w:rFonts w:hint="eastAsia"/>
          <w:lang w:eastAsia="zh-CN"/>
        </w:rPr>
        <w:t>对可能频段进行了研究，这些研究涵盖有关此议题的技术、操作和规则方面的考虑。特别是</w:t>
      </w:r>
      <w:r w:rsidR="00F32E07">
        <w:rPr>
          <w:rFonts w:hint="eastAsia"/>
          <w:lang w:eastAsia="zh-CN"/>
        </w:rPr>
        <w:t>：</w:t>
      </w:r>
    </w:p>
    <w:p w:rsidR="002C1952" w:rsidRDefault="00A45E2D" w:rsidP="00A45E2D">
      <w:pPr>
        <w:pStyle w:val="enumlev1"/>
        <w:rPr>
          <w:lang w:eastAsia="zh-CN"/>
        </w:rPr>
      </w:pPr>
      <w:r>
        <w:rPr>
          <w:lang w:eastAsia="zh-CN"/>
        </w:rPr>
        <w:t>•</w:t>
      </w:r>
      <w:r>
        <w:rPr>
          <w:lang w:eastAsia="zh-CN"/>
        </w:rPr>
        <w:tab/>
      </w:r>
      <w:r w:rsidR="00F32E07">
        <w:rPr>
          <w:rFonts w:hint="eastAsia"/>
          <w:lang w:eastAsia="zh-CN"/>
        </w:rPr>
        <w:t>提交</w:t>
      </w:r>
      <w:r w:rsidR="00F32E07">
        <w:rPr>
          <w:rFonts w:hint="eastAsia"/>
          <w:lang w:eastAsia="zh-CN"/>
        </w:rPr>
        <w:t>WRC-15</w:t>
      </w:r>
      <w:r w:rsidR="00F32E07">
        <w:rPr>
          <w:rFonts w:hint="eastAsia"/>
          <w:lang w:eastAsia="zh-CN"/>
        </w:rPr>
        <w:t>的</w:t>
      </w:r>
      <w:r w:rsidR="00F32E07">
        <w:rPr>
          <w:rFonts w:hint="eastAsia"/>
          <w:lang w:eastAsia="zh-CN"/>
        </w:rPr>
        <w:t>CPM</w:t>
      </w:r>
      <w:r w:rsidR="00F32E07">
        <w:rPr>
          <w:rFonts w:hint="eastAsia"/>
          <w:lang w:eastAsia="zh-CN"/>
        </w:rPr>
        <w:t>最终报告在以下章节中：</w:t>
      </w:r>
    </w:p>
    <w:p w:rsidR="002C1952" w:rsidRDefault="002B1840" w:rsidP="00A45E2D">
      <w:pPr>
        <w:pStyle w:val="enumlev2"/>
        <w:rPr>
          <w:lang w:eastAsia="zh-CN"/>
        </w:rPr>
      </w:pPr>
      <w:r w:rsidRPr="00BD6EBE">
        <w:rPr>
          <w:lang w:eastAsia="zh-CN"/>
        </w:rPr>
        <w:t>–</w:t>
      </w:r>
      <w:r w:rsidRPr="00BD6EBE">
        <w:rPr>
          <w:lang w:eastAsia="zh-CN"/>
        </w:rPr>
        <w:tab/>
      </w:r>
      <w:r w:rsidR="00F32E07">
        <w:rPr>
          <w:rFonts w:hint="eastAsia"/>
          <w:lang w:eastAsia="zh-CN"/>
        </w:rPr>
        <w:t>有关议项</w:t>
      </w:r>
      <w:r w:rsidR="00F32E07">
        <w:rPr>
          <w:rFonts w:hint="eastAsia"/>
          <w:lang w:eastAsia="zh-CN"/>
        </w:rPr>
        <w:t>1.6.1</w:t>
      </w:r>
      <w:r w:rsidR="00F32E07">
        <w:rPr>
          <w:rFonts w:hint="eastAsia"/>
          <w:lang w:eastAsia="zh-CN"/>
        </w:rPr>
        <w:t>的</w:t>
      </w:r>
      <w:r w:rsidR="00BD5A71">
        <w:rPr>
          <w:rFonts w:hint="eastAsia"/>
          <w:lang w:eastAsia="zh-CN"/>
        </w:rPr>
        <w:t>第</w:t>
      </w:r>
      <w:r w:rsidR="00BD5A71">
        <w:rPr>
          <w:rFonts w:hint="eastAsia"/>
          <w:lang w:eastAsia="zh-CN"/>
        </w:rPr>
        <w:t>4.1</w:t>
      </w:r>
      <w:r w:rsidR="00BD5A71">
        <w:rPr>
          <w:rFonts w:hint="eastAsia"/>
          <w:lang w:eastAsia="zh-CN"/>
        </w:rPr>
        <w:t>分章第</w:t>
      </w:r>
      <w:r w:rsidR="00BD5A71">
        <w:rPr>
          <w:lang w:eastAsia="zh-CN"/>
        </w:rPr>
        <w:t>4.1/1.6.1</w:t>
      </w:r>
      <w:r w:rsidR="00BD5A71">
        <w:rPr>
          <w:rFonts w:hint="eastAsia"/>
          <w:lang w:eastAsia="zh-CN"/>
        </w:rPr>
        <w:t>节（及后续节），</w:t>
      </w:r>
    </w:p>
    <w:p w:rsidR="002C1952" w:rsidRDefault="002B1840" w:rsidP="002B1840">
      <w:pPr>
        <w:pStyle w:val="enumlev2"/>
        <w:rPr>
          <w:lang w:eastAsia="zh-CN"/>
        </w:rPr>
      </w:pPr>
      <w:r w:rsidRPr="00BD6EBE">
        <w:rPr>
          <w:lang w:eastAsia="zh-CN"/>
        </w:rPr>
        <w:lastRenderedPageBreak/>
        <w:t>–</w:t>
      </w:r>
      <w:r w:rsidRPr="00BD6EBE">
        <w:rPr>
          <w:lang w:eastAsia="zh-CN"/>
        </w:rPr>
        <w:tab/>
      </w:r>
      <w:r w:rsidR="00BD5A71">
        <w:rPr>
          <w:rFonts w:hint="eastAsia"/>
          <w:lang w:eastAsia="zh-CN"/>
        </w:rPr>
        <w:t>有关议项</w:t>
      </w:r>
      <w:r w:rsidR="00BD5A71">
        <w:rPr>
          <w:rFonts w:hint="eastAsia"/>
          <w:lang w:eastAsia="zh-CN"/>
        </w:rPr>
        <w:t>1.6.2</w:t>
      </w:r>
      <w:r w:rsidR="00BD5A71">
        <w:rPr>
          <w:rFonts w:hint="eastAsia"/>
          <w:lang w:eastAsia="zh-CN"/>
        </w:rPr>
        <w:t>的第</w:t>
      </w:r>
      <w:r w:rsidR="00BD5A71">
        <w:rPr>
          <w:rFonts w:hint="eastAsia"/>
          <w:lang w:eastAsia="zh-CN"/>
        </w:rPr>
        <w:t>4.1</w:t>
      </w:r>
      <w:r w:rsidR="00BD5A71">
        <w:rPr>
          <w:rFonts w:hint="eastAsia"/>
          <w:lang w:eastAsia="zh-CN"/>
        </w:rPr>
        <w:t>分章第</w:t>
      </w:r>
      <w:r w:rsidR="00BD5A71">
        <w:rPr>
          <w:lang w:eastAsia="zh-CN"/>
        </w:rPr>
        <w:t>4.1/1.6.</w:t>
      </w:r>
      <w:r w:rsidR="00BD5A71">
        <w:rPr>
          <w:rFonts w:hint="eastAsia"/>
          <w:lang w:eastAsia="zh-CN"/>
        </w:rPr>
        <w:t>2</w:t>
      </w:r>
      <w:r w:rsidR="00BD5A71">
        <w:rPr>
          <w:rFonts w:hint="eastAsia"/>
          <w:lang w:eastAsia="zh-CN"/>
        </w:rPr>
        <w:t>节（及后续节），</w:t>
      </w:r>
    </w:p>
    <w:p w:rsidR="008B7229" w:rsidRDefault="008B7229">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C1952" w:rsidRDefault="00A45E2D" w:rsidP="00A45E2D">
      <w:pPr>
        <w:pStyle w:val="enumlev1"/>
        <w:rPr>
          <w:lang w:val="en-US" w:eastAsia="zh-CN"/>
        </w:rPr>
      </w:pPr>
      <w:r w:rsidRPr="00A45E2D">
        <w:rPr>
          <w:lang w:val="en-US" w:eastAsia="zh-CN"/>
        </w:rPr>
        <w:lastRenderedPageBreak/>
        <w:t>•</w:t>
      </w:r>
      <w:r>
        <w:rPr>
          <w:lang w:val="en-US" w:eastAsia="zh-CN"/>
        </w:rPr>
        <w:tab/>
      </w:r>
      <w:r w:rsidR="00BD5A71">
        <w:rPr>
          <w:lang w:val="en-US" w:eastAsia="zh-CN"/>
        </w:rPr>
        <w:t>ITU-R S.2365</w:t>
      </w:r>
      <w:r w:rsidR="00BD5A71">
        <w:rPr>
          <w:rFonts w:asciiTheme="minorEastAsia" w:eastAsiaTheme="minorEastAsia" w:hAnsiTheme="minorEastAsia" w:hint="eastAsia"/>
          <w:lang w:val="en-US" w:eastAsia="zh-CN"/>
        </w:rPr>
        <w:t>号报告（</w:t>
      </w:r>
      <w:r w:rsidR="00BD5A71">
        <w:rPr>
          <w:lang w:val="en-US" w:eastAsia="zh-CN"/>
        </w:rPr>
        <w:t>4/112-E</w:t>
      </w:r>
      <w:r w:rsidR="00BD5A71">
        <w:rPr>
          <w:rFonts w:asciiTheme="minorEastAsia" w:eastAsiaTheme="minorEastAsia" w:hAnsiTheme="minorEastAsia" w:hint="eastAsia"/>
          <w:lang w:val="en-US" w:eastAsia="zh-CN"/>
        </w:rPr>
        <w:t>号文件）在以下各节中：</w:t>
      </w:r>
    </w:p>
    <w:p w:rsidR="002C1952" w:rsidRDefault="002B1840" w:rsidP="00A45E2D">
      <w:pPr>
        <w:pStyle w:val="enumlev2"/>
        <w:rPr>
          <w:lang w:eastAsia="zh-CN"/>
        </w:rPr>
      </w:pPr>
      <w:r w:rsidRPr="00BD6EBE">
        <w:rPr>
          <w:lang w:eastAsia="zh-CN"/>
        </w:rPr>
        <w:t>–</w:t>
      </w:r>
      <w:r w:rsidRPr="00BD6EBE">
        <w:rPr>
          <w:lang w:eastAsia="zh-CN"/>
        </w:rPr>
        <w:tab/>
      </w:r>
      <w:r w:rsidR="00BD5A71">
        <w:rPr>
          <w:rFonts w:hint="eastAsia"/>
          <w:lang w:eastAsia="zh-CN"/>
        </w:rPr>
        <w:t>有关</w:t>
      </w:r>
      <w:r w:rsidR="00BD5A71">
        <w:rPr>
          <w:lang w:eastAsia="zh-CN"/>
        </w:rPr>
        <w:t>14.5-14.8 GHz</w:t>
      </w:r>
      <w:r w:rsidR="00BD5A71">
        <w:rPr>
          <w:rFonts w:hint="eastAsia"/>
          <w:lang w:eastAsia="zh-CN"/>
        </w:rPr>
        <w:t>频段的第</w:t>
      </w:r>
      <w:r w:rsidR="00BD5A71">
        <w:rPr>
          <w:lang w:eastAsia="zh-CN"/>
        </w:rPr>
        <w:t>10.2.3</w:t>
      </w:r>
      <w:r w:rsidR="00BD5A71">
        <w:rPr>
          <w:rFonts w:hint="eastAsia"/>
          <w:lang w:eastAsia="zh-CN"/>
        </w:rPr>
        <w:t>和</w:t>
      </w:r>
      <w:r w:rsidR="00BD5A71">
        <w:rPr>
          <w:lang w:eastAsia="zh-CN"/>
        </w:rPr>
        <w:t>10.3</w:t>
      </w:r>
      <w:r w:rsidR="00BD5A71">
        <w:rPr>
          <w:rFonts w:hint="eastAsia"/>
          <w:lang w:eastAsia="zh-CN"/>
        </w:rPr>
        <w:t>节，</w:t>
      </w:r>
    </w:p>
    <w:p w:rsidR="002C1952" w:rsidRDefault="002B1840" w:rsidP="00A45E2D">
      <w:pPr>
        <w:pStyle w:val="enumlev2"/>
        <w:rPr>
          <w:lang w:eastAsia="zh-CN"/>
        </w:rPr>
      </w:pPr>
      <w:r w:rsidRPr="00BD6EBE">
        <w:rPr>
          <w:lang w:eastAsia="zh-CN"/>
        </w:rPr>
        <w:t>–</w:t>
      </w:r>
      <w:r w:rsidRPr="00BD6EBE">
        <w:rPr>
          <w:lang w:eastAsia="zh-CN"/>
        </w:rPr>
        <w:tab/>
      </w:r>
      <w:r w:rsidR="00C1124A">
        <w:rPr>
          <w:rFonts w:hint="eastAsia"/>
          <w:lang w:eastAsia="zh-CN"/>
        </w:rPr>
        <w:t>有关</w:t>
      </w:r>
      <w:r w:rsidR="002C1952">
        <w:rPr>
          <w:lang w:eastAsia="zh-CN"/>
        </w:rPr>
        <w:t>14.8-15.35 GHz</w:t>
      </w:r>
      <w:r w:rsidR="00C1124A">
        <w:rPr>
          <w:rFonts w:hint="eastAsia"/>
          <w:lang w:eastAsia="zh-CN"/>
        </w:rPr>
        <w:t>频段的第</w:t>
      </w:r>
      <w:r w:rsidR="00C1124A">
        <w:rPr>
          <w:rFonts w:hint="eastAsia"/>
          <w:lang w:eastAsia="zh-CN"/>
        </w:rPr>
        <w:t>11.2.3</w:t>
      </w:r>
      <w:r w:rsidR="00C1124A">
        <w:rPr>
          <w:rFonts w:hint="eastAsia"/>
          <w:lang w:eastAsia="zh-CN"/>
        </w:rPr>
        <w:t>和</w:t>
      </w:r>
      <w:r w:rsidR="00C1124A">
        <w:rPr>
          <w:rFonts w:hint="eastAsia"/>
          <w:lang w:eastAsia="zh-CN"/>
        </w:rPr>
        <w:t>11.3</w:t>
      </w:r>
      <w:r w:rsidR="00C1124A">
        <w:rPr>
          <w:rFonts w:hint="eastAsia"/>
          <w:lang w:eastAsia="zh-CN"/>
        </w:rPr>
        <w:t>节，</w:t>
      </w:r>
    </w:p>
    <w:p w:rsidR="002C1952" w:rsidRDefault="002B1840" w:rsidP="008B7229">
      <w:pPr>
        <w:pStyle w:val="enumlev1"/>
        <w:rPr>
          <w:lang w:val="en-US" w:eastAsia="zh-CN"/>
        </w:rPr>
      </w:pPr>
      <w:r w:rsidRPr="00A45E2D">
        <w:rPr>
          <w:lang w:val="en-US" w:eastAsia="zh-CN"/>
        </w:rPr>
        <w:t>•</w:t>
      </w:r>
      <w:r>
        <w:rPr>
          <w:lang w:val="en-US" w:eastAsia="zh-CN"/>
        </w:rPr>
        <w:tab/>
      </w:r>
      <w:r w:rsidR="002C1952">
        <w:rPr>
          <w:lang w:val="en-US" w:eastAsia="zh-CN"/>
        </w:rPr>
        <w:t>4A</w:t>
      </w:r>
      <w:r w:rsidR="00C1124A" w:rsidRPr="002B1840">
        <w:rPr>
          <w:rFonts w:hint="eastAsia"/>
          <w:lang w:val="en-US" w:eastAsia="zh-CN"/>
        </w:rPr>
        <w:t>工作组</w:t>
      </w:r>
      <w:r w:rsidR="002C1952">
        <w:rPr>
          <w:lang w:val="en-US" w:eastAsia="zh-CN"/>
        </w:rPr>
        <w:t>ITU-R S.[R2R3.FSS]</w:t>
      </w:r>
      <w:r w:rsidR="00C1124A" w:rsidRPr="002B1840">
        <w:rPr>
          <w:rFonts w:hint="eastAsia"/>
          <w:lang w:val="en-US" w:eastAsia="zh-CN"/>
        </w:rPr>
        <w:t>新建议书草案（</w:t>
      </w:r>
      <w:r w:rsidR="002C1952">
        <w:rPr>
          <w:lang w:val="en-US" w:eastAsia="zh-CN"/>
        </w:rPr>
        <w:t>4/115</w:t>
      </w:r>
      <w:r w:rsidR="00C1124A" w:rsidRPr="002B1840">
        <w:rPr>
          <w:rFonts w:hint="eastAsia"/>
          <w:lang w:val="en-US" w:eastAsia="zh-CN"/>
        </w:rPr>
        <w:t>号文件）在以下各节中：</w:t>
      </w:r>
    </w:p>
    <w:p w:rsidR="002C1952" w:rsidRDefault="002B1840" w:rsidP="00A45E2D">
      <w:pPr>
        <w:pStyle w:val="enumlev2"/>
        <w:rPr>
          <w:lang w:eastAsia="zh-CN"/>
        </w:rPr>
      </w:pPr>
      <w:r w:rsidRPr="00BD6EBE">
        <w:rPr>
          <w:lang w:eastAsia="zh-CN"/>
        </w:rPr>
        <w:t>–</w:t>
      </w:r>
      <w:r w:rsidRPr="00BD6EBE">
        <w:rPr>
          <w:lang w:eastAsia="zh-CN"/>
        </w:rPr>
        <w:tab/>
      </w:r>
      <w:r w:rsidR="00C1124A">
        <w:rPr>
          <w:rFonts w:hint="eastAsia"/>
          <w:lang w:eastAsia="zh-CN"/>
        </w:rPr>
        <w:t>有关</w:t>
      </w:r>
      <w:r w:rsidR="002C1952">
        <w:rPr>
          <w:lang w:eastAsia="zh-CN"/>
        </w:rPr>
        <w:t>14.5-14.8 GHz</w:t>
      </w:r>
      <w:r w:rsidR="00C1124A">
        <w:rPr>
          <w:rFonts w:hint="eastAsia"/>
          <w:lang w:eastAsia="zh-CN"/>
        </w:rPr>
        <w:t>频段的第</w:t>
      </w:r>
      <w:r w:rsidR="00C1124A">
        <w:rPr>
          <w:rFonts w:hint="eastAsia"/>
          <w:lang w:eastAsia="zh-CN"/>
        </w:rPr>
        <w:t>8.2.3</w:t>
      </w:r>
      <w:r w:rsidR="00C1124A">
        <w:rPr>
          <w:rFonts w:hint="eastAsia"/>
          <w:lang w:eastAsia="zh-CN"/>
        </w:rPr>
        <w:t>和</w:t>
      </w:r>
      <w:r w:rsidR="00C1124A">
        <w:rPr>
          <w:rFonts w:hint="eastAsia"/>
          <w:lang w:eastAsia="zh-CN"/>
        </w:rPr>
        <w:t>8.3</w:t>
      </w:r>
      <w:r w:rsidR="00C1124A">
        <w:rPr>
          <w:rFonts w:hint="eastAsia"/>
          <w:lang w:eastAsia="zh-CN"/>
        </w:rPr>
        <w:t>节，</w:t>
      </w:r>
    </w:p>
    <w:p w:rsidR="002C1952" w:rsidRDefault="002B1840" w:rsidP="00A45E2D">
      <w:pPr>
        <w:pStyle w:val="enumlev2"/>
        <w:rPr>
          <w:lang w:eastAsia="zh-CN"/>
        </w:rPr>
      </w:pPr>
      <w:r w:rsidRPr="00BD6EBE">
        <w:rPr>
          <w:lang w:eastAsia="zh-CN"/>
        </w:rPr>
        <w:t>–</w:t>
      </w:r>
      <w:r w:rsidRPr="00BD6EBE">
        <w:rPr>
          <w:lang w:eastAsia="zh-CN"/>
        </w:rPr>
        <w:tab/>
      </w:r>
      <w:r w:rsidR="00C1124A">
        <w:rPr>
          <w:rFonts w:hint="eastAsia"/>
          <w:lang w:eastAsia="zh-CN"/>
        </w:rPr>
        <w:t>有关</w:t>
      </w:r>
      <w:r w:rsidR="002C1952">
        <w:rPr>
          <w:lang w:eastAsia="zh-CN"/>
        </w:rPr>
        <w:t>14.8-15.35 GHz</w:t>
      </w:r>
      <w:r w:rsidR="00C1124A">
        <w:rPr>
          <w:rFonts w:hint="eastAsia"/>
          <w:lang w:eastAsia="zh-CN"/>
        </w:rPr>
        <w:t>频段的第</w:t>
      </w:r>
      <w:r w:rsidR="00C1124A">
        <w:rPr>
          <w:rFonts w:hint="eastAsia"/>
          <w:lang w:eastAsia="zh-CN"/>
        </w:rPr>
        <w:t>9.2.3</w:t>
      </w:r>
      <w:r w:rsidR="00C1124A">
        <w:rPr>
          <w:rFonts w:hint="eastAsia"/>
          <w:lang w:eastAsia="zh-CN"/>
        </w:rPr>
        <w:t>和</w:t>
      </w:r>
      <w:r w:rsidR="00C1124A">
        <w:rPr>
          <w:rFonts w:hint="eastAsia"/>
          <w:lang w:eastAsia="zh-CN"/>
        </w:rPr>
        <w:t>9.3</w:t>
      </w:r>
      <w:r w:rsidR="00C1124A">
        <w:rPr>
          <w:rFonts w:hint="eastAsia"/>
          <w:lang w:eastAsia="zh-CN"/>
        </w:rPr>
        <w:t>节</w:t>
      </w:r>
    </w:p>
    <w:p w:rsidR="002C1952" w:rsidRDefault="00A440EC" w:rsidP="008B7229">
      <w:pPr>
        <w:ind w:firstLineChars="200" w:firstLine="480"/>
        <w:rPr>
          <w:lang w:eastAsia="zh-CN"/>
        </w:rPr>
      </w:pPr>
      <w:r>
        <w:rPr>
          <w:rFonts w:hint="eastAsia"/>
          <w:lang w:eastAsia="zh-CN"/>
        </w:rPr>
        <w:t>介绍了这些研究的结果。特别是：</w:t>
      </w:r>
    </w:p>
    <w:p w:rsidR="002C1952" w:rsidRDefault="001E0FEC" w:rsidP="008B7229">
      <w:pPr>
        <w:rPr>
          <w:lang w:val="en-US" w:eastAsia="zh-CN"/>
        </w:rPr>
      </w:pPr>
      <w:r>
        <w:rPr>
          <w:lang w:val="en-US" w:eastAsia="zh-CN"/>
        </w:rPr>
        <w:t>1</w:t>
      </w:r>
      <w:r w:rsidR="00A45E2D">
        <w:rPr>
          <w:lang w:val="en-US" w:eastAsia="zh-CN"/>
        </w:rPr>
        <w:tab/>
      </w:r>
      <w:r w:rsidR="002C1952" w:rsidRPr="00BA5AFC">
        <w:rPr>
          <w:b/>
          <w:bCs/>
          <w:lang w:val="en-US" w:eastAsia="zh-CN"/>
        </w:rPr>
        <w:t>14.5-14.8 GHz</w:t>
      </w:r>
      <w:r w:rsidR="00A440EC" w:rsidRPr="00BA5AFC">
        <w:rPr>
          <w:rFonts w:asciiTheme="minorEastAsia" w:eastAsiaTheme="minorEastAsia" w:hAnsiTheme="minorEastAsia" w:hint="eastAsia"/>
          <w:b/>
          <w:bCs/>
          <w:lang w:val="en-US" w:eastAsia="zh-CN"/>
        </w:rPr>
        <w:t>频段</w:t>
      </w:r>
    </w:p>
    <w:p w:rsidR="002C1952" w:rsidRPr="00564EF6" w:rsidRDefault="00A45E2D" w:rsidP="002B1840">
      <w:pPr>
        <w:pStyle w:val="enumlev1"/>
        <w:rPr>
          <w:lang w:val="en-US" w:eastAsia="zh-CN"/>
        </w:rPr>
      </w:pPr>
      <w:r>
        <w:rPr>
          <w:lang w:val="en-US" w:eastAsia="zh-CN"/>
        </w:rPr>
        <w:t>a)</w:t>
      </w:r>
      <w:r>
        <w:rPr>
          <w:lang w:val="en-US" w:eastAsia="zh-CN"/>
        </w:rPr>
        <w:tab/>
      </w:r>
      <w:r w:rsidR="00CD7514" w:rsidRPr="002B1840">
        <w:rPr>
          <w:lang w:val="en-US" w:eastAsia="zh-CN"/>
        </w:rPr>
        <w:t>围绕该频段共</w:t>
      </w:r>
      <w:r w:rsidR="00CC0DC8" w:rsidRPr="002B1840">
        <w:rPr>
          <w:lang w:val="en-US" w:eastAsia="zh-CN"/>
        </w:rPr>
        <w:t>开展了八项研究，</w:t>
      </w:r>
      <w:r w:rsidR="00CD7514" w:rsidRPr="002B1840">
        <w:rPr>
          <w:rFonts w:hint="eastAsia"/>
          <w:lang w:val="en-US" w:eastAsia="zh-CN"/>
        </w:rPr>
        <w:t>这些研究均</w:t>
      </w:r>
      <w:r w:rsidR="00CD7514" w:rsidRPr="002B1840">
        <w:rPr>
          <w:lang w:val="en-US" w:eastAsia="zh-CN"/>
        </w:rPr>
        <w:t>在</w:t>
      </w:r>
      <w:r w:rsidR="00CD7514" w:rsidRPr="002B1840">
        <w:rPr>
          <w:lang w:val="en-US" w:eastAsia="zh-CN"/>
        </w:rPr>
        <w:t>CPM</w:t>
      </w:r>
      <w:r w:rsidR="00CD7514" w:rsidRPr="002B1840">
        <w:rPr>
          <w:lang w:val="en-US" w:eastAsia="zh-CN"/>
        </w:rPr>
        <w:t>和</w:t>
      </w:r>
      <w:r w:rsidR="00CD7514" w:rsidRPr="002B1840">
        <w:rPr>
          <w:lang w:val="en-US" w:eastAsia="zh-CN"/>
        </w:rPr>
        <w:t>4A</w:t>
      </w:r>
      <w:r w:rsidR="00CD7514" w:rsidRPr="002B1840">
        <w:rPr>
          <w:lang w:val="en-US" w:eastAsia="zh-CN"/>
        </w:rPr>
        <w:t>工作组层面进行了讨论，</w:t>
      </w:r>
      <w:r w:rsidR="00CD7514" w:rsidRPr="002B1840">
        <w:rPr>
          <w:rFonts w:hint="eastAsia"/>
          <w:lang w:val="en-US" w:eastAsia="zh-CN"/>
        </w:rPr>
        <w:t>并</w:t>
      </w:r>
      <w:r w:rsidR="00CD7514" w:rsidRPr="002B1840">
        <w:rPr>
          <w:lang w:val="en-US" w:eastAsia="zh-CN"/>
        </w:rPr>
        <w:t>且纳入了相关报告；</w:t>
      </w:r>
      <w:r w:rsidR="00CC0DC8" w:rsidRPr="002B1840">
        <w:rPr>
          <w:rFonts w:hint="eastAsia"/>
          <w:lang w:val="en-US" w:eastAsia="zh-CN"/>
        </w:rPr>
        <w:t>所有研究的结果</w:t>
      </w:r>
      <w:r w:rsidR="00C86655" w:rsidRPr="002B1840">
        <w:rPr>
          <w:rFonts w:hint="eastAsia"/>
          <w:lang w:val="en-US" w:eastAsia="zh-CN"/>
        </w:rPr>
        <w:t>均</w:t>
      </w:r>
      <w:r w:rsidR="00CC0DC8" w:rsidRPr="002B1840">
        <w:rPr>
          <w:rFonts w:hint="eastAsia"/>
          <w:lang w:val="en-US" w:eastAsia="zh-CN"/>
        </w:rPr>
        <w:t>表明，</w:t>
      </w:r>
      <w:r w:rsidR="00CC0DC8" w:rsidRPr="002B1840">
        <w:rPr>
          <w:lang w:val="en-US" w:eastAsia="zh-CN"/>
        </w:rPr>
        <w:t>FSS</w:t>
      </w:r>
      <w:r w:rsidR="00CC0DC8" w:rsidRPr="002B1840">
        <w:rPr>
          <w:rFonts w:hint="eastAsia"/>
          <w:lang w:val="en-US" w:eastAsia="zh-CN"/>
        </w:rPr>
        <w:t>（地对空）对</w:t>
      </w:r>
      <w:r w:rsidR="00CC0DC8" w:rsidRPr="002B1840">
        <w:rPr>
          <w:lang w:val="en-US" w:eastAsia="zh-CN"/>
        </w:rPr>
        <w:t>AMS</w:t>
      </w:r>
      <w:r w:rsidR="00CC0DC8" w:rsidRPr="002B1840">
        <w:rPr>
          <w:lang w:val="en-US" w:eastAsia="zh-CN"/>
        </w:rPr>
        <w:t>的干扰超出</w:t>
      </w:r>
      <w:r w:rsidR="00564EF6" w:rsidRPr="002B1840">
        <w:rPr>
          <w:lang w:val="en-US" w:eastAsia="zh-CN"/>
        </w:rPr>
        <w:t>了由</w:t>
      </w:r>
      <w:r w:rsidR="00564EF6" w:rsidRPr="002B1840">
        <w:rPr>
          <w:lang w:val="en-US" w:eastAsia="zh-CN"/>
        </w:rPr>
        <w:t>AMS</w:t>
      </w:r>
      <w:r w:rsidR="00564EF6" w:rsidRPr="002B1840">
        <w:rPr>
          <w:lang w:val="en-US" w:eastAsia="zh-CN"/>
        </w:rPr>
        <w:t>接收电台和</w:t>
      </w:r>
      <w:r w:rsidR="00564EF6" w:rsidRPr="002B1840">
        <w:rPr>
          <w:lang w:val="en-US" w:eastAsia="zh-CN"/>
        </w:rPr>
        <w:t>FSS</w:t>
      </w:r>
      <w:r w:rsidR="00564EF6" w:rsidRPr="002B1840">
        <w:rPr>
          <w:lang w:val="en-US" w:eastAsia="zh-CN"/>
        </w:rPr>
        <w:t>地球站之间的距离所决定的</w:t>
      </w:r>
      <w:r w:rsidR="00CC0DC8" w:rsidRPr="002B1840">
        <w:rPr>
          <w:lang w:val="en-US" w:eastAsia="zh-CN"/>
        </w:rPr>
        <w:t>保护标准</w:t>
      </w:r>
      <w:r w:rsidR="00564EF6" w:rsidRPr="002B1840">
        <w:rPr>
          <w:rFonts w:hint="eastAsia"/>
          <w:lang w:val="en-US" w:eastAsia="zh-CN"/>
        </w:rPr>
        <w:t>。然而，</w:t>
      </w:r>
      <w:r w:rsidR="00564EF6" w:rsidRPr="002B1840">
        <w:rPr>
          <w:rFonts w:hint="eastAsia"/>
          <w:lang w:val="en-US" w:eastAsia="zh-CN"/>
        </w:rPr>
        <w:t>AMS</w:t>
      </w:r>
      <w:r w:rsidR="00564EF6" w:rsidRPr="002B1840">
        <w:rPr>
          <w:rFonts w:hint="eastAsia"/>
          <w:lang w:val="en-US" w:eastAsia="zh-CN"/>
        </w:rPr>
        <w:t>（航空器和陆地）电台本质上属于移动电台；因此，设置</w:t>
      </w:r>
      <w:r w:rsidR="00C86655" w:rsidRPr="002B1840">
        <w:rPr>
          <w:rFonts w:hint="eastAsia"/>
          <w:lang w:val="en-US" w:eastAsia="zh-CN"/>
        </w:rPr>
        <w:t>其</w:t>
      </w:r>
      <w:r w:rsidR="00564EF6" w:rsidRPr="002B1840">
        <w:rPr>
          <w:rFonts w:hint="eastAsia"/>
          <w:lang w:val="en-US" w:eastAsia="zh-CN"/>
        </w:rPr>
        <w:t>与</w:t>
      </w:r>
      <w:r w:rsidR="00564EF6" w:rsidRPr="002B1840">
        <w:rPr>
          <w:rFonts w:hint="eastAsia"/>
          <w:lang w:val="en-US" w:eastAsia="zh-CN"/>
        </w:rPr>
        <w:t>FSS</w:t>
      </w:r>
      <w:r w:rsidR="00564EF6" w:rsidRPr="002B1840">
        <w:rPr>
          <w:rFonts w:hint="eastAsia"/>
          <w:lang w:val="en-US" w:eastAsia="zh-CN"/>
        </w:rPr>
        <w:t>发射地球站之间的最小间隔距离的做法在实际操作中并不可行。</w:t>
      </w:r>
    </w:p>
    <w:p w:rsidR="002C1952" w:rsidRDefault="00A45E2D" w:rsidP="002B1840">
      <w:pPr>
        <w:pStyle w:val="enumlev1"/>
        <w:rPr>
          <w:lang w:val="en-US" w:eastAsia="zh-CN"/>
        </w:rPr>
      </w:pPr>
      <w:r>
        <w:rPr>
          <w:rFonts w:hint="eastAsia"/>
          <w:lang w:val="en-US" w:eastAsia="zh-CN"/>
        </w:rPr>
        <w:t>b)</w:t>
      </w:r>
      <w:r>
        <w:rPr>
          <w:rFonts w:hint="eastAsia"/>
          <w:lang w:val="en-US" w:eastAsia="zh-CN"/>
        </w:rPr>
        <w:tab/>
      </w:r>
      <w:r w:rsidR="004A64C0">
        <w:rPr>
          <w:rFonts w:hint="eastAsia"/>
          <w:lang w:val="en-US" w:eastAsia="zh-CN"/>
        </w:rPr>
        <w:t>研究证明：</w:t>
      </w:r>
    </w:p>
    <w:p w:rsidR="002C1952" w:rsidRDefault="00A45E2D" w:rsidP="00B04D5B">
      <w:pPr>
        <w:pStyle w:val="enumlev2"/>
        <w:rPr>
          <w:lang w:val="en-US" w:eastAsia="zh-CN"/>
        </w:rPr>
      </w:pPr>
      <w:proofErr w:type="spellStart"/>
      <w:r>
        <w:rPr>
          <w:rFonts w:hint="eastAsia"/>
          <w:lang w:val="en-US" w:eastAsia="zh-CN"/>
        </w:rPr>
        <w:t>i</w:t>
      </w:r>
      <w:proofErr w:type="spellEnd"/>
      <w:r>
        <w:rPr>
          <w:rFonts w:hint="eastAsia"/>
          <w:lang w:val="en-US" w:eastAsia="zh-CN"/>
        </w:rPr>
        <w:t>)</w:t>
      </w:r>
      <w:r>
        <w:rPr>
          <w:rFonts w:hint="eastAsia"/>
          <w:lang w:val="en-US" w:eastAsia="zh-CN"/>
        </w:rPr>
        <w:tab/>
      </w:r>
      <w:r w:rsidR="009954C3">
        <w:rPr>
          <w:rFonts w:hint="eastAsia"/>
          <w:lang w:val="en-US" w:eastAsia="zh-CN"/>
        </w:rPr>
        <w:t>对</w:t>
      </w:r>
      <w:r w:rsidR="00631218">
        <w:rPr>
          <w:lang w:eastAsia="zh-CN"/>
        </w:rPr>
        <w:t>AMS</w:t>
      </w:r>
      <w:r w:rsidR="00631218">
        <w:rPr>
          <w:rFonts w:hint="eastAsia"/>
          <w:lang w:eastAsia="zh-CN"/>
        </w:rPr>
        <w:t>系统的保护</w:t>
      </w:r>
      <w:r w:rsidR="009954C3">
        <w:rPr>
          <w:rFonts w:hint="eastAsia"/>
          <w:lang w:eastAsia="zh-CN"/>
        </w:rPr>
        <w:t>只有在以下条件下方可实现：当航空器高度为</w:t>
      </w:r>
      <w:r w:rsidR="009954C3">
        <w:rPr>
          <w:lang w:eastAsia="zh-CN"/>
        </w:rPr>
        <w:t>19</w:t>
      </w:r>
      <w:r w:rsidR="007752FD">
        <w:rPr>
          <w:rFonts w:hint="eastAsia"/>
          <w:lang w:eastAsia="zh-CN"/>
        </w:rPr>
        <w:t>千米</w:t>
      </w:r>
      <w:r w:rsidR="009954C3">
        <w:rPr>
          <w:rFonts w:hint="eastAsia"/>
          <w:lang w:eastAsia="zh-CN"/>
        </w:rPr>
        <w:t>时，</w:t>
      </w:r>
      <w:r w:rsidR="00631218">
        <w:rPr>
          <w:lang w:eastAsia="zh-CN"/>
        </w:rPr>
        <w:t>FSS</w:t>
      </w:r>
      <w:r w:rsidR="009954C3">
        <w:rPr>
          <w:rFonts w:asciiTheme="minorEastAsia" w:eastAsiaTheme="minorEastAsia" w:hAnsiTheme="minorEastAsia" w:hint="eastAsia"/>
          <w:lang w:eastAsia="zh-CN"/>
        </w:rPr>
        <w:t>发射地球站</w:t>
      </w:r>
      <w:r w:rsidR="00631218">
        <w:rPr>
          <w:rFonts w:hint="eastAsia"/>
          <w:lang w:eastAsia="zh-CN"/>
        </w:rPr>
        <w:t>与</w:t>
      </w:r>
      <w:r w:rsidR="00631218">
        <w:rPr>
          <w:lang w:eastAsia="zh-CN"/>
        </w:rPr>
        <w:t>AMS</w:t>
      </w:r>
      <w:r w:rsidR="00FE185B">
        <w:rPr>
          <w:rFonts w:hint="eastAsia"/>
          <w:lang w:eastAsia="zh-CN"/>
        </w:rPr>
        <w:t>航空器电台</w:t>
      </w:r>
      <w:r w:rsidR="00631218">
        <w:rPr>
          <w:rFonts w:hint="eastAsia"/>
          <w:lang w:eastAsia="zh-CN"/>
        </w:rPr>
        <w:t>的间隔距离应在</w:t>
      </w:r>
      <w:r w:rsidR="00FE185B">
        <w:rPr>
          <w:lang w:eastAsia="zh-CN"/>
        </w:rPr>
        <w:t>400</w:t>
      </w:r>
      <w:r w:rsidR="00B04D5B">
        <w:rPr>
          <w:lang w:eastAsia="zh-CN"/>
        </w:rPr>
        <w:t>-</w:t>
      </w:r>
      <w:r w:rsidR="00631218">
        <w:rPr>
          <w:lang w:eastAsia="zh-CN"/>
        </w:rPr>
        <w:t>575</w:t>
      </w:r>
      <w:r w:rsidR="00631218">
        <w:rPr>
          <w:rFonts w:hint="eastAsia"/>
          <w:lang w:eastAsia="zh-CN"/>
        </w:rPr>
        <w:t>公里</w:t>
      </w:r>
      <w:r w:rsidR="00C921F0">
        <w:rPr>
          <w:rFonts w:hint="eastAsia"/>
          <w:lang w:eastAsia="zh-CN"/>
        </w:rPr>
        <w:t>范围内</w:t>
      </w:r>
      <w:r w:rsidR="00631218">
        <w:rPr>
          <w:rFonts w:hint="eastAsia"/>
          <w:lang w:eastAsia="zh-CN"/>
        </w:rPr>
        <w:t>，当航空器高度为</w:t>
      </w:r>
      <w:r w:rsidR="00631218">
        <w:rPr>
          <w:lang w:eastAsia="zh-CN"/>
        </w:rPr>
        <w:t>2.4</w:t>
      </w:r>
      <w:r w:rsidR="00515D4E">
        <w:rPr>
          <w:rFonts w:hint="eastAsia"/>
          <w:lang w:eastAsia="zh-CN"/>
        </w:rPr>
        <w:t>千米</w:t>
      </w:r>
      <w:r w:rsidR="00FE185B">
        <w:rPr>
          <w:rFonts w:hint="eastAsia"/>
          <w:lang w:eastAsia="zh-CN"/>
        </w:rPr>
        <w:t>时，间隔距离</w:t>
      </w:r>
      <w:r w:rsidR="00631218">
        <w:rPr>
          <w:rFonts w:hint="eastAsia"/>
          <w:lang w:eastAsia="zh-CN"/>
        </w:rPr>
        <w:t>应在</w:t>
      </w:r>
      <w:r w:rsidR="00631218">
        <w:rPr>
          <w:lang w:eastAsia="zh-CN"/>
        </w:rPr>
        <w:t>150</w:t>
      </w:r>
      <w:r w:rsidR="00B04D5B">
        <w:rPr>
          <w:lang w:eastAsia="zh-CN"/>
        </w:rPr>
        <w:t>-</w:t>
      </w:r>
      <w:r w:rsidR="00631218">
        <w:rPr>
          <w:lang w:eastAsia="zh-CN"/>
        </w:rPr>
        <w:t>180</w:t>
      </w:r>
      <w:r w:rsidR="00631218">
        <w:rPr>
          <w:rFonts w:hint="eastAsia"/>
          <w:lang w:eastAsia="zh-CN"/>
        </w:rPr>
        <w:t>公里</w:t>
      </w:r>
      <w:r w:rsidR="00C921F0">
        <w:rPr>
          <w:rFonts w:hint="eastAsia"/>
          <w:lang w:eastAsia="zh-CN"/>
        </w:rPr>
        <w:t>范围内</w:t>
      </w:r>
      <w:r w:rsidR="00631218">
        <w:rPr>
          <w:rFonts w:hint="eastAsia"/>
          <w:lang w:eastAsia="zh-CN"/>
        </w:rPr>
        <w:t>。</w:t>
      </w:r>
      <w:r w:rsidR="00FE185B">
        <w:rPr>
          <w:rFonts w:asciiTheme="minorEastAsia" w:eastAsiaTheme="minorEastAsia" w:hAnsiTheme="minorEastAsia" w:hint="eastAsia"/>
          <w:lang w:val="en-US" w:eastAsia="zh-CN"/>
        </w:rPr>
        <w:t>这</w:t>
      </w:r>
      <w:r w:rsidR="00DF6AA5">
        <w:rPr>
          <w:rFonts w:asciiTheme="minorEastAsia" w:eastAsiaTheme="minorEastAsia" w:hAnsiTheme="minorEastAsia" w:hint="eastAsia"/>
          <w:lang w:val="en-US" w:eastAsia="zh-CN"/>
        </w:rPr>
        <w:t>实际上排除了</w:t>
      </w:r>
      <w:r w:rsidR="00DF6AA5">
        <w:rPr>
          <w:rFonts w:asciiTheme="majorBidi" w:eastAsiaTheme="minorEastAsia" w:hAnsiTheme="majorBidi" w:cstheme="majorBidi"/>
          <w:lang w:val="en-US" w:eastAsia="zh-CN"/>
        </w:rPr>
        <w:t>AMS</w:t>
      </w:r>
      <w:r w:rsidR="00DF6AA5">
        <w:rPr>
          <w:rFonts w:asciiTheme="majorBidi" w:eastAsiaTheme="minorEastAsia" w:hAnsiTheme="majorBidi" w:cstheme="majorBidi" w:hint="eastAsia"/>
          <w:lang w:val="en-US" w:eastAsia="zh-CN"/>
        </w:rPr>
        <w:t>航空器电台在该区域内运行的可能。</w:t>
      </w:r>
    </w:p>
    <w:p w:rsidR="002C1952" w:rsidRDefault="00A45E2D" w:rsidP="002B1840">
      <w:pPr>
        <w:pStyle w:val="enumlev2"/>
        <w:rPr>
          <w:lang w:val="en-US" w:eastAsia="zh-CN"/>
        </w:rPr>
      </w:pPr>
      <w:r>
        <w:rPr>
          <w:rFonts w:asciiTheme="majorBidi" w:eastAsiaTheme="minorEastAsia" w:hAnsiTheme="majorBidi" w:cstheme="majorBidi" w:hint="eastAsia"/>
          <w:lang w:val="en-US" w:eastAsia="zh-CN"/>
        </w:rPr>
        <w:t>ii)</w:t>
      </w:r>
      <w:r>
        <w:rPr>
          <w:rFonts w:asciiTheme="majorBidi" w:eastAsiaTheme="minorEastAsia" w:hAnsiTheme="majorBidi" w:cstheme="majorBidi" w:hint="eastAsia"/>
          <w:lang w:val="en-US" w:eastAsia="zh-CN"/>
        </w:rPr>
        <w:tab/>
      </w:r>
      <w:r w:rsidR="00A03C5E" w:rsidRPr="00A03C5E">
        <w:rPr>
          <w:rFonts w:asciiTheme="majorBidi" w:eastAsiaTheme="minorEastAsia" w:hAnsiTheme="majorBidi" w:cstheme="majorBidi"/>
          <w:lang w:val="en-US" w:eastAsia="zh-CN"/>
        </w:rPr>
        <w:t>对</w:t>
      </w:r>
      <w:r w:rsidR="00A03C5E" w:rsidRPr="00A03C5E">
        <w:rPr>
          <w:rFonts w:asciiTheme="majorBidi" w:eastAsiaTheme="minorEastAsia" w:hAnsiTheme="majorBidi" w:cstheme="majorBidi"/>
          <w:lang w:val="en-US" w:eastAsia="zh-CN"/>
        </w:rPr>
        <w:t>FSS</w:t>
      </w:r>
      <w:r w:rsidR="00A03C5E" w:rsidRPr="00A03C5E">
        <w:rPr>
          <w:rFonts w:asciiTheme="majorBidi" w:eastAsiaTheme="minorEastAsia" w:hAnsiTheme="majorBidi" w:cstheme="majorBidi"/>
          <w:lang w:val="en-US" w:eastAsia="zh-CN"/>
        </w:rPr>
        <w:t>地球站做出</w:t>
      </w:r>
      <w:r w:rsidR="00263583" w:rsidRPr="00A03C5E">
        <w:rPr>
          <w:rFonts w:asciiTheme="majorBidi" w:eastAsiaTheme="minorEastAsia" w:hAnsiTheme="majorBidi" w:cstheme="majorBidi"/>
          <w:lang w:val="en-US" w:eastAsia="zh-CN"/>
        </w:rPr>
        <w:t>最小</w:t>
      </w:r>
      <w:r w:rsidR="00A03C5E" w:rsidRPr="00A03C5E">
        <w:rPr>
          <w:rFonts w:asciiTheme="majorBidi" w:eastAsiaTheme="minorEastAsia" w:hAnsiTheme="majorBidi" w:cstheme="majorBidi"/>
          <w:lang w:val="en-US" w:eastAsia="zh-CN"/>
        </w:rPr>
        <w:t>天线尺寸的要求对</w:t>
      </w:r>
      <w:r w:rsidR="00263583">
        <w:rPr>
          <w:rFonts w:asciiTheme="majorBidi" w:eastAsiaTheme="minorEastAsia" w:hAnsiTheme="majorBidi" w:cstheme="majorBidi" w:hint="eastAsia"/>
          <w:lang w:val="en-US" w:eastAsia="zh-CN"/>
        </w:rPr>
        <w:t>于</w:t>
      </w:r>
      <w:r w:rsidR="00A03C5E" w:rsidRPr="00A03C5E">
        <w:rPr>
          <w:rFonts w:asciiTheme="majorBidi" w:eastAsiaTheme="minorEastAsia" w:hAnsiTheme="majorBidi" w:cstheme="majorBidi"/>
          <w:lang w:val="en-US" w:eastAsia="zh-CN"/>
        </w:rPr>
        <w:t>保护</w:t>
      </w:r>
      <w:r w:rsidR="00A03C5E" w:rsidRPr="00A03C5E">
        <w:rPr>
          <w:rFonts w:asciiTheme="majorBidi" w:eastAsiaTheme="minorEastAsia" w:hAnsiTheme="majorBidi" w:cstheme="majorBidi"/>
          <w:lang w:val="en-US" w:eastAsia="zh-CN"/>
        </w:rPr>
        <w:t>AMS</w:t>
      </w:r>
      <w:r w:rsidR="00A03C5E" w:rsidRPr="00A03C5E">
        <w:rPr>
          <w:rFonts w:asciiTheme="majorBidi" w:eastAsiaTheme="minorEastAsia" w:hAnsiTheme="majorBidi" w:cstheme="majorBidi"/>
          <w:lang w:val="en-US" w:eastAsia="zh-CN"/>
        </w:rPr>
        <w:t>航空器电台不会产生实质性影响。</w:t>
      </w:r>
    </w:p>
    <w:p w:rsidR="002C1952" w:rsidRPr="00735A58" w:rsidRDefault="00A45E2D" w:rsidP="002B1840">
      <w:pPr>
        <w:pStyle w:val="enumlev2"/>
        <w:rPr>
          <w:lang w:val="en-US" w:eastAsia="zh-CN"/>
        </w:rPr>
      </w:pPr>
      <w:r>
        <w:rPr>
          <w:rFonts w:asciiTheme="majorBidi" w:eastAsiaTheme="minorEastAsia" w:hAnsiTheme="majorBidi" w:cstheme="majorBidi" w:hint="eastAsia"/>
          <w:lang w:val="en-US" w:eastAsia="zh-CN"/>
        </w:rPr>
        <w:t>iii)</w:t>
      </w:r>
      <w:r>
        <w:rPr>
          <w:rFonts w:asciiTheme="majorBidi" w:eastAsiaTheme="minorEastAsia" w:hAnsiTheme="majorBidi" w:cstheme="majorBidi" w:hint="eastAsia"/>
          <w:lang w:val="en-US" w:eastAsia="zh-CN"/>
        </w:rPr>
        <w:tab/>
      </w:r>
      <w:r w:rsidR="00735A58" w:rsidRPr="00735A58">
        <w:rPr>
          <w:rFonts w:asciiTheme="majorBidi" w:eastAsiaTheme="minorEastAsia" w:hAnsiTheme="majorBidi" w:cstheme="majorBidi"/>
          <w:lang w:val="en-US" w:eastAsia="zh-CN"/>
        </w:rPr>
        <w:t>鉴于</w:t>
      </w:r>
      <w:r w:rsidR="00735A58">
        <w:rPr>
          <w:rFonts w:asciiTheme="majorBidi" w:eastAsiaTheme="minorEastAsia" w:hAnsiTheme="majorBidi" w:cstheme="majorBidi" w:hint="eastAsia"/>
          <w:lang w:val="en-US" w:eastAsia="zh-CN"/>
        </w:rPr>
        <w:t>AMS</w:t>
      </w:r>
      <w:r w:rsidR="00735A58">
        <w:rPr>
          <w:rFonts w:asciiTheme="majorBidi" w:eastAsiaTheme="minorEastAsia" w:hAnsiTheme="majorBidi" w:cstheme="majorBidi" w:hint="eastAsia"/>
          <w:lang w:val="en-US" w:eastAsia="zh-CN"/>
        </w:rPr>
        <w:t>航空器电台的操作高度在</w:t>
      </w:r>
      <w:r w:rsidR="00735A58">
        <w:rPr>
          <w:rFonts w:asciiTheme="majorBidi" w:eastAsiaTheme="minorEastAsia" w:hAnsiTheme="majorBidi" w:cstheme="majorBidi" w:hint="eastAsia"/>
          <w:lang w:val="en-US" w:eastAsia="zh-CN"/>
        </w:rPr>
        <w:t>1</w:t>
      </w:r>
      <w:r>
        <w:rPr>
          <w:rFonts w:asciiTheme="majorBidi" w:eastAsiaTheme="minorEastAsia" w:hAnsiTheme="majorBidi" w:cstheme="majorBidi"/>
          <w:lang w:val="en-US" w:eastAsia="zh-CN"/>
        </w:rPr>
        <w:t> </w:t>
      </w:r>
      <w:r w:rsidR="00735A58">
        <w:rPr>
          <w:rFonts w:asciiTheme="majorBidi" w:eastAsiaTheme="minorEastAsia" w:hAnsiTheme="majorBidi" w:cstheme="majorBidi" w:hint="eastAsia"/>
          <w:lang w:val="en-US" w:eastAsia="zh-CN"/>
        </w:rPr>
        <w:t>000</w:t>
      </w:r>
      <w:r w:rsidR="00735A58">
        <w:rPr>
          <w:rFonts w:asciiTheme="majorBidi" w:eastAsiaTheme="minorEastAsia" w:hAnsiTheme="majorBidi" w:cstheme="majorBidi" w:hint="eastAsia"/>
          <w:lang w:val="en-US" w:eastAsia="zh-CN"/>
        </w:rPr>
        <w:t>米到</w:t>
      </w:r>
      <w:r w:rsidR="00735A58">
        <w:rPr>
          <w:rFonts w:asciiTheme="majorBidi" w:eastAsiaTheme="minorEastAsia" w:hAnsiTheme="majorBidi" w:cstheme="majorBidi" w:hint="eastAsia"/>
          <w:lang w:val="en-US" w:eastAsia="zh-CN"/>
        </w:rPr>
        <w:t>20</w:t>
      </w:r>
      <w:r>
        <w:rPr>
          <w:rFonts w:asciiTheme="majorBidi" w:eastAsiaTheme="minorEastAsia" w:hAnsiTheme="majorBidi" w:cstheme="majorBidi"/>
          <w:lang w:val="en-US" w:eastAsia="zh-CN"/>
        </w:rPr>
        <w:t> </w:t>
      </w:r>
      <w:r w:rsidR="00735A58">
        <w:rPr>
          <w:rFonts w:asciiTheme="majorBidi" w:eastAsiaTheme="minorEastAsia" w:hAnsiTheme="majorBidi" w:cstheme="majorBidi" w:hint="eastAsia"/>
          <w:lang w:val="en-US" w:eastAsia="zh-CN"/>
        </w:rPr>
        <w:t>00</w:t>
      </w:r>
      <w:r w:rsidR="005633DA">
        <w:rPr>
          <w:rFonts w:asciiTheme="majorBidi" w:eastAsiaTheme="minorEastAsia" w:hAnsiTheme="majorBidi" w:cstheme="majorBidi" w:hint="eastAsia"/>
          <w:lang w:val="en-US" w:eastAsia="zh-CN"/>
        </w:rPr>
        <w:t>0</w:t>
      </w:r>
      <w:r w:rsidR="00735A58">
        <w:rPr>
          <w:rFonts w:asciiTheme="majorBidi" w:eastAsiaTheme="minorEastAsia" w:hAnsiTheme="majorBidi" w:cstheme="majorBidi" w:hint="eastAsia"/>
          <w:lang w:val="en-US" w:eastAsia="zh-CN"/>
        </w:rPr>
        <w:t>米之间，当</w:t>
      </w:r>
      <w:r w:rsidR="00735A58">
        <w:rPr>
          <w:rFonts w:asciiTheme="majorBidi" w:eastAsiaTheme="minorEastAsia" w:hAnsiTheme="majorBidi" w:cstheme="majorBidi" w:hint="eastAsia"/>
          <w:lang w:val="en-US" w:eastAsia="zh-CN"/>
        </w:rPr>
        <w:t>AMS</w:t>
      </w:r>
      <w:r w:rsidR="00735A58">
        <w:rPr>
          <w:rFonts w:asciiTheme="majorBidi" w:eastAsiaTheme="minorEastAsia" w:hAnsiTheme="majorBidi" w:cstheme="majorBidi" w:hint="eastAsia"/>
          <w:lang w:val="en-US" w:eastAsia="zh-CN"/>
        </w:rPr>
        <w:t>航空器电台与</w:t>
      </w:r>
      <w:r w:rsidR="00735A58">
        <w:rPr>
          <w:rFonts w:asciiTheme="majorBidi" w:eastAsiaTheme="minorEastAsia" w:hAnsiTheme="majorBidi" w:cstheme="majorBidi" w:hint="eastAsia"/>
          <w:lang w:val="en-US" w:eastAsia="zh-CN"/>
        </w:rPr>
        <w:t>FSS</w:t>
      </w:r>
      <w:r w:rsidR="00735A58">
        <w:rPr>
          <w:rFonts w:asciiTheme="majorBidi" w:eastAsiaTheme="minorEastAsia" w:hAnsiTheme="majorBidi" w:cstheme="majorBidi" w:hint="eastAsia"/>
          <w:lang w:val="en-US" w:eastAsia="zh-CN"/>
        </w:rPr>
        <w:t>地球站之间的距离为</w:t>
      </w:r>
      <w:r w:rsidR="00735A58">
        <w:rPr>
          <w:rFonts w:asciiTheme="majorBidi" w:eastAsiaTheme="minorEastAsia" w:hAnsiTheme="majorBidi" w:cstheme="majorBidi" w:hint="eastAsia"/>
          <w:lang w:val="en-US" w:eastAsia="zh-CN"/>
        </w:rPr>
        <w:t>0</w:t>
      </w:r>
      <w:r w:rsidR="00735A58">
        <w:rPr>
          <w:rFonts w:asciiTheme="majorBidi" w:eastAsiaTheme="minorEastAsia" w:hAnsiTheme="majorBidi" w:cstheme="majorBidi" w:hint="eastAsia"/>
          <w:lang w:val="en-US" w:eastAsia="zh-CN"/>
        </w:rPr>
        <w:t>到</w:t>
      </w:r>
      <w:r w:rsidR="00735A58">
        <w:rPr>
          <w:rFonts w:asciiTheme="majorBidi" w:eastAsiaTheme="minorEastAsia" w:hAnsiTheme="majorBidi" w:cstheme="majorBidi" w:hint="eastAsia"/>
          <w:lang w:val="en-US" w:eastAsia="zh-CN"/>
        </w:rPr>
        <w:t>200</w:t>
      </w:r>
      <w:r w:rsidR="00735A58">
        <w:rPr>
          <w:rFonts w:asciiTheme="majorBidi" w:eastAsiaTheme="minorEastAsia" w:hAnsiTheme="majorBidi" w:cstheme="majorBidi" w:hint="eastAsia"/>
          <w:lang w:val="en-US" w:eastAsia="zh-CN"/>
        </w:rPr>
        <w:t>公里时，</w:t>
      </w:r>
      <w:r w:rsidR="00735A58">
        <w:rPr>
          <w:rFonts w:asciiTheme="majorBidi" w:eastAsiaTheme="minorEastAsia" w:hAnsiTheme="majorBidi" w:cstheme="majorBidi" w:hint="eastAsia"/>
          <w:lang w:val="en-US" w:eastAsia="zh-CN"/>
        </w:rPr>
        <w:t>FSS</w:t>
      </w:r>
      <w:r w:rsidR="00735A58">
        <w:rPr>
          <w:rFonts w:asciiTheme="majorBidi" w:eastAsiaTheme="minorEastAsia" w:hAnsiTheme="majorBidi" w:cstheme="majorBidi" w:hint="eastAsia"/>
          <w:lang w:val="en-US" w:eastAsia="zh-CN"/>
        </w:rPr>
        <w:t>地球站的干扰超出</w:t>
      </w:r>
      <w:r w:rsidR="00735A58">
        <w:rPr>
          <w:rFonts w:asciiTheme="majorBidi" w:eastAsiaTheme="minorEastAsia" w:hAnsiTheme="majorBidi" w:cstheme="majorBidi" w:hint="eastAsia"/>
          <w:lang w:val="en-US" w:eastAsia="zh-CN"/>
        </w:rPr>
        <w:t>AMS</w:t>
      </w:r>
      <w:r w:rsidR="00735A58">
        <w:rPr>
          <w:rFonts w:asciiTheme="majorBidi" w:eastAsiaTheme="minorEastAsia" w:hAnsiTheme="majorBidi" w:cstheme="majorBidi" w:hint="eastAsia"/>
          <w:lang w:val="en-US" w:eastAsia="zh-CN"/>
        </w:rPr>
        <w:t>保护标准的概率</w:t>
      </w:r>
      <w:r w:rsidR="00094508" w:rsidRPr="00735A58">
        <w:rPr>
          <w:rFonts w:hint="eastAsia"/>
          <w:lang w:eastAsia="zh-CN"/>
        </w:rPr>
        <w:t>在</w:t>
      </w:r>
      <w:r w:rsidR="00094508">
        <w:rPr>
          <w:lang w:eastAsia="zh-CN"/>
        </w:rPr>
        <w:t>24%</w:t>
      </w:r>
      <w:r w:rsidR="00094508" w:rsidRPr="00735A58">
        <w:rPr>
          <w:rFonts w:hint="eastAsia"/>
          <w:lang w:eastAsia="zh-CN"/>
        </w:rPr>
        <w:t>至</w:t>
      </w:r>
      <w:r w:rsidR="00094508">
        <w:rPr>
          <w:lang w:eastAsia="zh-CN"/>
        </w:rPr>
        <w:t>32%</w:t>
      </w:r>
      <w:r w:rsidR="00094508" w:rsidRPr="00735A58">
        <w:rPr>
          <w:rFonts w:hint="eastAsia"/>
          <w:lang w:eastAsia="zh-CN"/>
        </w:rPr>
        <w:t>之间。</w:t>
      </w:r>
      <w:r w:rsidR="00735A58">
        <w:rPr>
          <w:rFonts w:hint="eastAsia"/>
          <w:lang w:eastAsia="zh-CN"/>
        </w:rPr>
        <w:t>这一情形的</w:t>
      </w:r>
      <w:r w:rsidR="00A238B2" w:rsidRPr="00735A58">
        <w:rPr>
          <w:rFonts w:hint="eastAsia"/>
          <w:lang w:eastAsia="zh-CN"/>
        </w:rPr>
        <w:t>结果</w:t>
      </w:r>
      <w:r w:rsidR="00735A58">
        <w:rPr>
          <w:rFonts w:hint="eastAsia"/>
          <w:lang w:eastAsia="zh-CN"/>
        </w:rPr>
        <w:t>并</w:t>
      </w:r>
      <w:r w:rsidR="00A238B2" w:rsidRPr="00735A58">
        <w:rPr>
          <w:rFonts w:hint="eastAsia"/>
          <w:lang w:eastAsia="zh-CN"/>
        </w:rPr>
        <w:t>不取决于</w:t>
      </w:r>
      <w:r w:rsidR="00A238B2">
        <w:rPr>
          <w:lang w:eastAsia="zh-CN"/>
        </w:rPr>
        <w:t>AMS</w:t>
      </w:r>
      <w:r w:rsidR="00735A58">
        <w:rPr>
          <w:rFonts w:asciiTheme="minorEastAsia" w:eastAsiaTheme="minorEastAsia" w:hAnsiTheme="minorEastAsia" w:hint="eastAsia"/>
          <w:lang w:eastAsia="zh-CN"/>
        </w:rPr>
        <w:t>航空</w:t>
      </w:r>
      <w:r w:rsidR="00A238B2" w:rsidRPr="00735A58">
        <w:rPr>
          <w:rFonts w:hint="eastAsia"/>
          <w:lang w:eastAsia="zh-CN"/>
        </w:rPr>
        <w:t>陆地电台的位置。</w:t>
      </w:r>
    </w:p>
    <w:p w:rsidR="002C1952" w:rsidRDefault="00A45E2D" w:rsidP="002B1840">
      <w:pPr>
        <w:pStyle w:val="enumlev2"/>
        <w:rPr>
          <w:lang w:val="en-US" w:eastAsia="zh-CN"/>
        </w:rPr>
      </w:pPr>
      <w:r>
        <w:rPr>
          <w:rFonts w:eastAsiaTheme="minorEastAsia" w:hint="eastAsia"/>
          <w:lang w:val="en-US" w:eastAsia="zh-CN"/>
        </w:rPr>
        <w:t>iv)</w:t>
      </w:r>
      <w:r>
        <w:rPr>
          <w:rFonts w:eastAsiaTheme="minorEastAsia" w:hint="eastAsia"/>
          <w:lang w:val="en-US" w:eastAsia="zh-CN"/>
        </w:rPr>
        <w:tab/>
      </w:r>
      <w:r w:rsidR="00E17252" w:rsidRPr="00E17252">
        <w:rPr>
          <w:rFonts w:eastAsiaTheme="minorEastAsia"/>
          <w:lang w:val="en-US" w:eastAsia="zh-CN"/>
        </w:rPr>
        <w:t>对于</w:t>
      </w:r>
      <w:r w:rsidR="00E17252">
        <w:rPr>
          <w:rFonts w:eastAsiaTheme="minorEastAsia" w:hint="eastAsia"/>
          <w:lang w:val="en-US" w:eastAsia="zh-CN"/>
        </w:rPr>
        <w:t>AMS</w:t>
      </w:r>
      <w:r w:rsidR="00E17252">
        <w:rPr>
          <w:rFonts w:eastAsiaTheme="minorEastAsia" w:hint="eastAsia"/>
          <w:lang w:val="en-US" w:eastAsia="zh-CN"/>
        </w:rPr>
        <w:t>航空器电台而言，当超出</w:t>
      </w:r>
      <w:r w:rsidR="00E17252">
        <w:rPr>
          <w:rFonts w:eastAsiaTheme="minorEastAsia" w:hint="eastAsia"/>
          <w:lang w:val="en-US" w:eastAsia="zh-CN"/>
        </w:rPr>
        <w:t>I/N</w:t>
      </w:r>
      <w:r w:rsidR="00E17252">
        <w:rPr>
          <w:rFonts w:eastAsiaTheme="minorEastAsia" w:hint="eastAsia"/>
          <w:lang w:val="en-US" w:eastAsia="zh-CN"/>
        </w:rPr>
        <w:t>保护标准时，必须启动彻底的链路恢复程序，即在链路重建之前，航空器必须到达一个处于干扰区域之外的位置。</w:t>
      </w:r>
      <w:r w:rsidR="001D0C02">
        <w:rPr>
          <w:rFonts w:eastAsiaTheme="minorEastAsia" w:hint="eastAsia"/>
          <w:lang w:val="en-US" w:eastAsia="zh-CN"/>
        </w:rPr>
        <w:t>考虑到不同航空器的速度（最高为</w:t>
      </w:r>
      <w:r w:rsidR="001D0C02">
        <w:rPr>
          <w:rFonts w:eastAsiaTheme="minorEastAsia" w:hint="eastAsia"/>
          <w:lang w:val="en-US" w:eastAsia="zh-CN"/>
        </w:rPr>
        <w:t>200</w:t>
      </w:r>
      <w:r w:rsidR="001D0C02">
        <w:rPr>
          <w:rFonts w:eastAsiaTheme="minorEastAsia" w:hint="eastAsia"/>
          <w:lang w:val="en-US" w:eastAsia="zh-CN"/>
        </w:rPr>
        <w:t>米</w:t>
      </w:r>
      <w:r w:rsidR="001D0C02">
        <w:rPr>
          <w:rFonts w:eastAsiaTheme="minorEastAsia" w:hint="eastAsia"/>
          <w:lang w:val="en-US" w:eastAsia="zh-CN"/>
        </w:rPr>
        <w:t>/</w:t>
      </w:r>
      <w:r w:rsidR="001D0C02">
        <w:rPr>
          <w:rFonts w:eastAsiaTheme="minorEastAsia" w:hint="eastAsia"/>
          <w:lang w:val="en-US" w:eastAsia="zh-CN"/>
        </w:rPr>
        <w:t>秒）和高度（</w:t>
      </w:r>
      <w:r w:rsidR="001D0C02">
        <w:rPr>
          <w:rFonts w:eastAsiaTheme="minorEastAsia" w:hint="eastAsia"/>
          <w:lang w:val="en-US" w:eastAsia="zh-CN"/>
        </w:rPr>
        <w:t>3</w:t>
      </w:r>
      <w:r>
        <w:rPr>
          <w:rFonts w:eastAsiaTheme="minorEastAsia"/>
          <w:lang w:val="en-US" w:eastAsia="zh-CN"/>
        </w:rPr>
        <w:t> </w:t>
      </w:r>
      <w:r w:rsidR="001D0C02">
        <w:rPr>
          <w:rFonts w:eastAsiaTheme="minorEastAsia" w:hint="eastAsia"/>
          <w:lang w:val="en-US" w:eastAsia="zh-CN"/>
        </w:rPr>
        <w:t>000</w:t>
      </w:r>
      <w:r w:rsidR="001D0C02">
        <w:rPr>
          <w:rFonts w:eastAsiaTheme="minorEastAsia" w:hint="eastAsia"/>
          <w:lang w:val="en-US" w:eastAsia="zh-CN"/>
        </w:rPr>
        <w:t>米至</w:t>
      </w:r>
      <w:r w:rsidR="001D0C02">
        <w:rPr>
          <w:rFonts w:eastAsiaTheme="minorEastAsia" w:hint="eastAsia"/>
          <w:lang w:val="en-US" w:eastAsia="zh-CN"/>
        </w:rPr>
        <w:t>10</w:t>
      </w:r>
      <w:r>
        <w:rPr>
          <w:rFonts w:eastAsiaTheme="minorEastAsia"/>
          <w:lang w:val="en-US" w:eastAsia="zh-CN"/>
        </w:rPr>
        <w:t> </w:t>
      </w:r>
      <w:r w:rsidR="001D0C02">
        <w:rPr>
          <w:rFonts w:eastAsiaTheme="minorEastAsia" w:hint="eastAsia"/>
          <w:lang w:val="en-US" w:eastAsia="zh-CN"/>
        </w:rPr>
        <w:t>000</w:t>
      </w:r>
      <w:r w:rsidR="001D0C02">
        <w:rPr>
          <w:rFonts w:eastAsiaTheme="minorEastAsia" w:hint="eastAsia"/>
          <w:lang w:val="en-US" w:eastAsia="zh-CN"/>
        </w:rPr>
        <w:t>米），链路恢复程序可能意味着</w:t>
      </w:r>
      <w:r w:rsidR="00086B02">
        <w:rPr>
          <w:rFonts w:eastAsiaTheme="minorEastAsia" w:hint="eastAsia"/>
          <w:lang w:val="en-US" w:eastAsia="zh-CN"/>
        </w:rPr>
        <w:t>最长可</w:t>
      </w:r>
      <w:r w:rsidR="001D0C02">
        <w:rPr>
          <w:rFonts w:eastAsiaTheme="minorEastAsia" w:hint="eastAsia"/>
          <w:lang w:val="en-US" w:eastAsia="zh-CN"/>
        </w:rPr>
        <w:t>达若干分钟的服务中断。</w:t>
      </w:r>
    </w:p>
    <w:p w:rsidR="002C1952" w:rsidRPr="0096440B" w:rsidRDefault="00A45E2D" w:rsidP="002B1840">
      <w:pPr>
        <w:pStyle w:val="enumlev2"/>
        <w:rPr>
          <w:rFonts w:asciiTheme="majorBidi" w:hAnsiTheme="majorBidi" w:cstheme="majorBidi"/>
          <w:lang w:val="en-US" w:eastAsia="zh-CN"/>
        </w:rPr>
      </w:pPr>
      <w:r>
        <w:rPr>
          <w:rFonts w:hint="eastAsia"/>
          <w:lang w:eastAsia="zh-CN"/>
        </w:rPr>
        <w:t>v)</w:t>
      </w:r>
      <w:r>
        <w:rPr>
          <w:rFonts w:hint="eastAsia"/>
          <w:lang w:eastAsia="zh-CN"/>
        </w:rPr>
        <w:tab/>
      </w:r>
      <w:r w:rsidR="00457659">
        <w:rPr>
          <w:rFonts w:hint="eastAsia"/>
          <w:lang w:eastAsia="zh-CN"/>
        </w:rPr>
        <w:t>基于上述考虑，在</w:t>
      </w:r>
      <w:r w:rsidR="00457659">
        <w:rPr>
          <w:lang w:eastAsia="zh-CN"/>
        </w:rPr>
        <w:t>14.5-14.8 GHz</w:t>
      </w:r>
      <w:r w:rsidR="00457659">
        <w:rPr>
          <w:rFonts w:hint="eastAsia"/>
          <w:lang w:eastAsia="zh-CN"/>
        </w:rPr>
        <w:t>和</w:t>
      </w:r>
      <w:r w:rsidR="00457659" w:rsidRPr="00D14901">
        <w:rPr>
          <w:lang w:eastAsia="zh-CN"/>
        </w:rPr>
        <w:t>14.8-15.35 GHz</w:t>
      </w:r>
      <w:r w:rsidR="00457659">
        <w:rPr>
          <w:rFonts w:hint="eastAsia"/>
          <w:lang w:eastAsia="zh-CN"/>
        </w:rPr>
        <w:t>频段部署</w:t>
      </w:r>
      <w:r w:rsidR="00457659" w:rsidRPr="00D14901">
        <w:rPr>
          <w:lang w:eastAsia="zh-CN"/>
        </w:rPr>
        <w:t>FSS</w:t>
      </w:r>
      <w:r w:rsidR="00457659">
        <w:rPr>
          <w:rFonts w:hint="eastAsia"/>
          <w:lang w:eastAsia="zh-CN"/>
        </w:rPr>
        <w:t>地球站会导致</w:t>
      </w:r>
      <w:r w:rsidR="003443AE" w:rsidRPr="0096440B">
        <w:rPr>
          <w:rFonts w:asciiTheme="majorBidi" w:eastAsiaTheme="minorEastAsia" w:hAnsiTheme="majorBidi" w:cstheme="majorBidi"/>
          <w:lang w:val="en-US" w:eastAsia="zh-CN"/>
        </w:rPr>
        <w:t>无法在大部分领土范围内（相当于若</w:t>
      </w:r>
      <w:r w:rsidR="003443AE" w:rsidRPr="0096440B">
        <w:rPr>
          <w:rFonts w:asciiTheme="majorBidi" w:eastAsiaTheme="minorEastAsia" w:hAnsiTheme="majorBidi" w:cstheme="majorBidi"/>
          <w:lang w:val="en-US" w:eastAsia="zh-CN"/>
        </w:rPr>
        <w:lastRenderedPageBreak/>
        <w:t>干平方公里）利用上述频段内的</w:t>
      </w:r>
      <w:r w:rsidR="003443AE" w:rsidRPr="0096440B">
        <w:rPr>
          <w:rFonts w:asciiTheme="majorBidi" w:eastAsiaTheme="minorEastAsia" w:hAnsiTheme="majorBidi" w:cstheme="majorBidi"/>
          <w:lang w:val="en-US" w:eastAsia="zh-CN"/>
        </w:rPr>
        <w:t>AMS</w:t>
      </w:r>
      <w:r w:rsidR="003443AE" w:rsidRPr="0096440B">
        <w:rPr>
          <w:rFonts w:asciiTheme="majorBidi" w:eastAsiaTheme="minorEastAsia" w:hAnsiTheme="majorBidi" w:cstheme="majorBidi"/>
          <w:lang w:val="en-US" w:eastAsia="zh-CN"/>
        </w:rPr>
        <w:t>业务开展空中勘察，</w:t>
      </w:r>
      <w:r w:rsidR="0096440B" w:rsidRPr="0096440B">
        <w:rPr>
          <w:rFonts w:asciiTheme="majorBidi" w:eastAsiaTheme="minorEastAsia" w:hAnsiTheme="majorBidi" w:cstheme="majorBidi"/>
          <w:lang w:val="en-US" w:eastAsia="zh-CN"/>
        </w:rPr>
        <w:t>并</w:t>
      </w:r>
      <w:r w:rsidR="00D561A1">
        <w:rPr>
          <w:rFonts w:asciiTheme="majorBidi" w:eastAsiaTheme="minorEastAsia" w:hAnsiTheme="majorBidi" w:cstheme="majorBidi" w:hint="eastAsia"/>
          <w:lang w:val="en-US" w:eastAsia="zh-CN"/>
        </w:rPr>
        <w:t>且会</w:t>
      </w:r>
      <w:r w:rsidR="0096440B" w:rsidRPr="0096440B">
        <w:rPr>
          <w:rFonts w:asciiTheme="majorBidi" w:eastAsiaTheme="minorEastAsia" w:hAnsiTheme="majorBidi" w:cstheme="majorBidi"/>
          <w:lang w:val="en-US" w:eastAsia="zh-CN"/>
        </w:rPr>
        <w:t>对这些业务造成不可接受的操作影响。</w:t>
      </w:r>
    </w:p>
    <w:p w:rsidR="002C1952" w:rsidRPr="00C93C5D" w:rsidRDefault="00A45E2D" w:rsidP="002B1840">
      <w:pPr>
        <w:pStyle w:val="enumlev1"/>
        <w:rPr>
          <w:lang w:val="en-US" w:eastAsia="zh-CN"/>
        </w:rPr>
      </w:pPr>
      <w:r>
        <w:rPr>
          <w:lang w:val="en-US" w:eastAsia="zh-CN"/>
        </w:rPr>
        <w:t>c)</w:t>
      </w:r>
      <w:r>
        <w:rPr>
          <w:lang w:val="en-US" w:eastAsia="zh-CN"/>
        </w:rPr>
        <w:tab/>
      </w:r>
      <w:r w:rsidR="00C93C5D" w:rsidRPr="00C93C5D">
        <w:rPr>
          <w:lang w:val="en-US" w:eastAsia="zh-CN"/>
        </w:rPr>
        <w:t>FSS</w:t>
      </w:r>
      <w:r w:rsidR="00C93C5D" w:rsidRPr="00C93C5D">
        <w:rPr>
          <w:lang w:val="en-US" w:eastAsia="zh-CN"/>
        </w:rPr>
        <w:t>和</w:t>
      </w:r>
      <w:r w:rsidR="00C93C5D" w:rsidRPr="00C93C5D">
        <w:rPr>
          <w:lang w:val="en-US" w:eastAsia="zh-CN"/>
        </w:rPr>
        <w:t>AMS</w:t>
      </w:r>
      <w:r w:rsidR="00C93C5D" w:rsidRPr="00C93C5D">
        <w:rPr>
          <w:lang w:val="en-US" w:eastAsia="zh-CN"/>
        </w:rPr>
        <w:t>航空器电台之间的必要协调距离为</w:t>
      </w:r>
      <w:r w:rsidR="00C93C5D" w:rsidRPr="00C93C5D">
        <w:rPr>
          <w:lang w:val="en-US" w:eastAsia="zh-CN"/>
        </w:rPr>
        <w:t>500</w:t>
      </w:r>
      <w:r w:rsidR="001A2D70">
        <w:rPr>
          <w:rFonts w:hint="eastAsia"/>
          <w:lang w:val="en-US" w:eastAsia="zh-CN"/>
        </w:rPr>
        <w:t>公里</w:t>
      </w:r>
      <w:r w:rsidR="00C93C5D" w:rsidRPr="00C93C5D">
        <w:rPr>
          <w:lang w:val="en-US" w:eastAsia="zh-CN"/>
        </w:rPr>
        <w:t>以上。</w:t>
      </w:r>
      <w:r w:rsidR="00C93C5D">
        <w:rPr>
          <w:rFonts w:hint="eastAsia"/>
          <w:lang w:val="en-US" w:eastAsia="zh-CN"/>
        </w:rPr>
        <w:t>应该注意的是，鉴于</w:t>
      </w:r>
      <w:r w:rsidR="00C93C5D">
        <w:rPr>
          <w:rFonts w:hint="eastAsia"/>
          <w:lang w:val="en-US" w:eastAsia="zh-CN"/>
        </w:rPr>
        <w:t>AMS</w:t>
      </w:r>
      <w:r w:rsidR="00C93C5D">
        <w:rPr>
          <w:rFonts w:hint="eastAsia"/>
          <w:lang w:val="en-US" w:eastAsia="zh-CN"/>
        </w:rPr>
        <w:t>网络遍布各处的特性，后续的协调程序几乎无法实施。实际上，</w:t>
      </w:r>
      <w:r w:rsidR="00C93C5D">
        <w:rPr>
          <w:rFonts w:hint="eastAsia"/>
          <w:lang w:val="en-US" w:eastAsia="zh-CN"/>
        </w:rPr>
        <w:t>AMS</w:t>
      </w:r>
      <w:r w:rsidR="00C93C5D">
        <w:rPr>
          <w:rFonts w:hint="eastAsia"/>
          <w:lang w:val="en-US" w:eastAsia="zh-CN"/>
        </w:rPr>
        <w:t>的操作区域通常会延伸出数百公里，且可能需要根据</w:t>
      </w:r>
      <w:r w:rsidR="00915E99">
        <w:rPr>
          <w:rFonts w:hint="eastAsia"/>
          <w:lang w:val="en-US" w:eastAsia="zh-CN"/>
        </w:rPr>
        <w:t>具体</w:t>
      </w:r>
      <w:r w:rsidR="00C93C5D">
        <w:rPr>
          <w:rFonts w:hint="eastAsia"/>
          <w:lang w:val="en-US" w:eastAsia="zh-CN"/>
        </w:rPr>
        <w:t>的航班情况予以评估；鉴于这些原因，协调程序可能会牵涉到大量的主管部门，同时协调程序的持续时间也无法与</w:t>
      </w:r>
      <w:r w:rsidR="00C93C5D">
        <w:rPr>
          <w:rFonts w:hint="eastAsia"/>
          <w:lang w:val="en-US" w:eastAsia="zh-CN"/>
        </w:rPr>
        <w:t>AMS</w:t>
      </w:r>
      <w:r w:rsidR="00C93C5D">
        <w:rPr>
          <w:rFonts w:hint="eastAsia"/>
          <w:lang w:val="en-US" w:eastAsia="zh-CN"/>
        </w:rPr>
        <w:t>的操作要求相容。</w:t>
      </w:r>
    </w:p>
    <w:p w:rsidR="002C1952" w:rsidRDefault="00A45E2D" w:rsidP="002B1840">
      <w:pPr>
        <w:pStyle w:val="enumlev1"/>
        <w:rPr>
          <w:lang w:val="en-US" w:eastAsia="zh-CN"/>
        </w:rPr>
      </w:pPr>
      <w:r>
        <w:rPr>
          <w:rFonts w:ascii="SimSun" w:hAnsi="SimSun" w:cs="SimSun" w:hint="eastAsia"/>
          <w:lang w:val="en-US" w:eastAsia="zh-CN"/>
        </w:rPr>
        <w:t>d)</w:t>
      </w:r>
      <w:r>
        <w:rPr>
          <w:rFonts w:ascii="SimSun" w:hAnsi="SimSun" w:cs="SimSun" w:hint="eastAsia"/>
          <w:lang w:val="en-US" w:eastAsia="zh-CN"/>
        </w:rPr>
        <w:tab/>
      </w:r>
      <w:r w:rsidR="00427AAF">
        <w:rPr>
          <w:rFonts w:ascii="SimSun" w:hAnsi="SimSun" w:cs="SimSun" w:hint="eastAsia"/>
          <w:lang w:val="en-US" w:eastAsia="zh-CN"/>
        </w:rPr>
        <w:t>此外，</w:t>
      </w:r>
      <w:r w:rsidR="00094508">
        <w:rPr>
          <w:rFonts w:ascii="SimSun" w:hAnsi="SimSun" w:cs="SimSun" w:hint="eastAsia"/>
          <w:lang w:val="en-US" w:eastAsia="zh-CN"/>
        </w:rPr>
        <w:t>必须认识到，虽然目前</w:t>
      </w:r>
      <w:r w:rsidR="00427AAF">
        <w:rPr>
          <w:rFonts w:ascii="SimSun" w:hAnsi="SimSun" w:cs="SimSun" w:hint="eastAsia"/>
          <w:lang w:val="en-US" w:eastAsia="zh-CN"/>
        </w:rPr>
        <w:t>在</w:t>
      </w:r>
      <w:r w:rsidR="00094508">
        <w:rPr>
          <w:lang w:val="en-US" w:eastAsia="zh-CN"/>
        </w:rPr>
        <w:t>2</w:t>
      </w:r>
      <w:r w:rsidR="00094508">
        <w:rPr>
          <w:rFonts w:ascii="SimSun" w:hAnsi="SimSun" w:cs="SimSun" w:hint="eastAsia"/>
          <w:lang w:val="en-US" w:eastAsia="zh-CN"/>
        </w:rPr>
        <w:t>区和</w:t>
      </w:r>
      <w:r w:rsidR="00094508">
        <w:rPr>
          <w:lang w:val="en-US" w:eastAsia="zh-CN"/>
        </w:rPr>
        <w:t>3</w:t>
      </w:r>
      <w:r w:rsidR="00094508">
        <w:rPr>
          <w:rFonts w:ascii="SimSun" w:hAnsi="SimSun" w:cs="SimSun" w:hint="eastAsia"/>
          <w:lang w:val="en-US" w:eastAsia="zh-CN"/>
        </w:rPr>
        <w:t>区</w:t>
      </w:r>
      <w:r w:rsidR="00427AAF">
        <w:rPr>
          <w:rFonts w:ascii="SimSun" w:hAnsi="SimSun" w:cs="SimSun" w:hint="eastAsia"/>
          <w:lang w:val="en-US" w:eastAsia="zh-CN"/>
        </w:rPr>
        <w:t>已</w:t>
      </w:r>
      <w:r w:rsidR="00094508">
        <w:rPr>
          <w:rFonts w:ascii="SimSun" w:hAnsi="SimSun" w:cs="SimSun" w:hint="eastAsia"/>
          <w:lang w:val="en-US" w:eastAsia="zh-CN"/>
        </w:rPr>
        <w:t>有用于</w:t>
      </w:r>
      <w:r w:rsidR="00427AAF">
        <w:rPr>
          <w:rFonts w:ascii="SimSun" w:hAnsi="SimSun" w:cs="SimSun" w:hint="eastAsia"/>
          <w:lang w:val="en-US" w:eastAsia="zh-CN"/>
        </w:rPr>
        <w:t>协调</w:t>
      </w:r>
      <w:r w:rsidR="00094508">
        <w:rPr>
          <w:lang w:val="en-US" w:eastAsia="zh-CN"/>
        </w:rPr>
        <w:t>FSS</w:t>
      </w:r>
      <w:r w:rsidR="00094508">
        <w:rPr>
          <w:rFonts w:ascii="SimSun" w:hAnsi="SimSun" w:cs="SimSun" w:hint="eastAsia"/>
          <w:lang w:val="en-US" w:eastAsia="zh-CN"/>
        </w:rPr>
        <w:t>（地对空）馈线链路与</w:t>
      </w:r>
      <w:r w:rsidR="00094508">
        <w:rPr>
          <w:lang w:eastAsia="zh-CN"/>
        </w:rPr>
        <w:t>MS/AMS</w:t>
      </w:r>
      <w:r w:rsidR="00094508">
        <w:rPr>
          <w:rFonts w:ascii="SimSun" w:hAnsi="SimSun" w:cs="SimSun" w:hint="eastAsia"/>
          <w:lang w:val="en-US" w:eastAsia="zh-CN"/>
        </w:rPr>
        <w:t>的协调程序，</w:t>
      </w:r>
      <w:r w:rsidR="00427AAF">
        <w:rPr>
          <w:rFonts w:ascii="SimSun" w:hAnsi="SimSun" w:cs="SimSun" w:hint="eastAsia"/>
          <w:lang w:val="en-US" w:eastAsia="zh-CN"/>
        </w:rPr>
        <w:t>但</w:t>
      </w:r>
      <w:r w:rsidR="00094508">
        <w:rPr>
          <w:rFonts w:ascii="SimSun" w:hAnsi="SimSun" w:cs="SimSun" w:hint="eastAsia"/>
          <w:lang w:val="en-US" w:eastAsia="zh-CN"/>
        </w:rPr>
        <w:t>此频段</w:t>
      </w:r>
      <w:r w:rsidR="00427AAF">
        <w:rPr>
          <w:rFonts w:ascii="SimSun" w:hAnsi="SimSun" w:cs="SimSun" w:hint="eastAsia"/>
          <w:lang w:val="en-US" w:eastAsia="zh-CN"/>
        </w:rPr>
        <w:t>内</w:t>
      </w:r>
      <w:r w:rsidR="00094508">
        <w:rPr>
          <w:rFonts w:ascii="SimSun" w:hAnsi="SimSun" w:cs="SimSun" w:hint="eastAsia"/>
          <w:lang w:val="en-US" w:eastAsia="zh-CN"/>
        </w:rPr>
        <w:t>目前没有已</w:t>
      </w:r>
      <w:r w:rsidR="00427AAF">
        <w:rPr>
          <w:rFonts w:ascii="SimSun" w:hAnsi="SimSun" w:cs="SimSun" w:hint="eastAsia"/>
          <w:lang w:val="en-US" w:eastAsia="zh-CN"/>
        </w:rPr>
        <w:t>经</w:t>
      </w:r>
      <w:r w:rsidR="00094508">
        <w:rPr>
          <w:rFonts w:ascii="SimSun" w:hAnsi="SimSun" w:cs="SimSun" w:hint="eastAsia"/>
          <w:lang w:val="en-US" w:eastAsia="zh-CN"/>
        </w:rPr>
        <w:t>通知并与此频段内</w:t>
      </w:r>
      <w:r w:rsidR="00427AAF">
        <w:rPr>
          <w:rFonts w:ascii="SimSun" w:hAnsi="SimSun" w:cs="SimSun" w:hint="eastAsia"/>
          <w:lang w:val="en-US" w:eastAsia="zh-CN"/>
        </w:rPr>
        <w:t>运行</w:t>
      </w:r>
      <w:r w:rsidR="00953988">
        <w:rPr>
          <w:rFonts w:ascii="SimSun" w:hAnsi="SimSun" w:cs="SimSun" w:hint="eastAsia"/>
          <w:lang w:val="en-US" w:eastAsia="zh-CN"/>
        </w:rPr>
        <w:t>的</w:t>
      </w:r>
      <w:r w:rsidR="00094508">
        <w:rPr>
          <w:lang w:val="en-US" w:eastAsia="zh-CN"/>
        </w:rPr>
        <w:t>FSS</w:t>
      </w:r>
      <w:r w:rsidR="00094508">
        <w:rPr>
          <w:rFonts w:ascii="SimSun" w:hAnsi="SimSun" w:cs="SimSun" w:hint="eastAsia"/>
          <w:lang w:val="en-US" w:eastAsia="zh-CN"/>
        </w:rPr>
        <w:t>空间电台相关的</w:t>
      </w:r>
      <w:r w:rsidR="00094508">
        <w:rPr>
          <w:lang w:val="en-US" w:eastAsia="zh-CN"/>
        </w:rPr>
        <w:t>FSS</w:t>
      </w:r>
      <w:r w:rsidR="00953988">
        <w:rPr>
          <w:rFonts w:ascii="SimSun" w:hAnsi="SimSun" w:cs="SimSun" w:hint="eastAsia"/>
          <w:lang w:val="en-US" w:eastAsia="zh-CN"/>
        </w:rPr>
        <w:t>地球站；因此，没有证据表明</w:t>
      </w:r>
      <w:r w:rsidR="00094508">
        <w:rPr>
          <w:rFonts w:ascii="SimSun" w:hAnsi="SimSun" w:cs="SimSun" w:hint="eastAsia"/>
          <w:lang w:val="en-US" w:eastAsia="zh-CN"/>
        </w:rPr>
        <w:t>共用</w:t>
      </w:r>
      <w:r w:rsidR="00953988">
        <w:rPr>
          <w:rFonts w:ascii="SimSun" w:hAnsi="SimSun" w:cs="SimSun" w:hint="eastAsia"/>
          <w:lang w:val="en-US" w:eastAsia="zh-CN"/>
        </w:rPr>
        <w:t>情况真实存在且</w:t>
      </w:r>
      <w:r w:rsidR="00094508">
        <w:rPr>
          <w:rFonts w:ascii="SimSun" w:hAnsi="SimSun" w:cs="SimSun" w:hint="eastAsia"/>
          <w:lang w:val="en-US" w:eastAsia="zh-CN"/>
        </w:rPr>
        <w:t>正在</w:t>
      </w:r>
      <w:r w:rsidR="00953988">
        <w:rPr>
          <w:rFonts w:ascii="SimSun" w:hAnsi="SimSun" w:cs="SimSun" w:hint="eastAsia"/>
          <w:lang w:val="en-US" w:eastAsia="zh-CN"/>
        </w:rPr>
        <w:t>进行</w:t>
      </w:r>
      <w:r w:rsidR="00094508">
        <w:rPr>
          <w:rFonts w:ascii="SimSun" w:hAnsi="SimSun" w:cs="SimSun" w:hint="eastAsia"/>
          <w:lang w:val="en-US" w:eastAsia="zh-CN"/>
        </w:rPr>
        <w:t>。此外，如出现未通知</w:t>
      </w:r>
      <w:r w:rsidR="00094508">
        <w:rPr>
          <w:lang w:val="en-US" w:eastAsia="zh-CN"/>
        </w:rPr>
        <w:t>FSS</w:t>
      </w:r>
      <w:r w:rsidR="00654750">
        <w:rPr>
          <w:rFonts w:ascii="SimSun" w:hAnsi="SimSun" w:cs="SimSun" w:hint="eastAsia"/>
          <w:lang w:val="en-US" w:eastAsia="zh-CN"/>
        </w:rPr>
        <w:t>地球站在此划分内运行</w:t>
      </w:r>
      <w:r w:rsidR="00872969">
        <w:rPr>
          <w:rFonts w:ascii="SimSun" w:hAnsi="SimSun" w:cs="SimSun" w:hint="eastAsia"/>
          <w:lang w:val="en-US" w:eastAsia="zh-CN"/>
        </w:rPr>
        <w:t>的情况，无证据表明</w:t>
      </w:r>
      <w:r w:rsidR="00094508">
        <w:rPr>
          <w:rFonts w:ascii="SimSun" w:hAnsi="SimSun" w:cs="SimSun" w:hint="eastAsia"/>
          <w:lang w:val="en-US" w:eastAsia="zh-CN"/>
        </w:rPr>
        <w:t>这些地球站</w:t>
      </w:r>
      <w:r w:rsidR="00872969">
        <w:rPr>
          <w:rFonts w:ascii="SimSun" w:hAnsi="SimSun" w:cs="SimSun" w:hint="eastAsia"/>
          <w:lang w:val="en-US" w:eastAsia="zh-CN"/>
        </w:rPr>
        <w:t>能够</w:t>
      </w:r>
      <w:r w:rsidR="00094508">
        <w:rPr>
          <w:rFonts w:ascii="SimSun" w:hAnsi="SimSun" w:cs="SimSun" w:hint="eastAsia"/>
          <w:lang w:val="en-US" w:eastAsia="zh-CN"/>
        </w:rPr>
        <w:t>在不对</w:t>
      </w:r>
      <w:r w:rsidR="00094508">
        <w:rPr>
          <w:lang w:val="en-US" w:eastAsia="zh-CN"/>
        </w:rPr>
        <w:t>AMS</w:t>
      </w:r>
      <w:r w:rsidR="00872969">
        <w:rPr>
          <w:rFonts w:ascii="SimSun" w:hAnsi="SimSun" w:cs="SimSun" w:hint="eastAsia"/>
          <w:lang w:val="en-US" w:eastAsia="zh-CN"/>
        </w:rPr>
        <w:t>系统造成</w:t>
      </w:r>
      <w:r w:rsidR="00094508">
        <w:rPr>
          <w:rFonts w:ascii="SimSun" w:hAnsi="SimSun" w:cs="SimSun" w:hint="eastAsia"/>
          <w:lang w:val="en-US" w:eastAsia="zh-CN"/>
        </w:rPr>
        <w:t>不应有的操作限制的情况下与</w:t>
      </w:r>
      <w:r w:rsidR="00094508">
        <w:rPr>
          <w:lang w:val="en-US" w:eastAsia="zh-CN"/>
        </w:rPr>
        <w:t>AMS</w:t>
      </w:r>
      <w:r w:rsidR="00094508">
        <w:rPr>
          <w:rFonts w:ascii="SimSun" w:hAnsi="SimSun" w:cs="SimSun" w:hint="eastAsia"/>
          <w:lang w:val="en-US" w:eastAsia="zh-CN"/>
        </w:rPr>
        <w:t>实现有效共存。</w:t>
      </w:r>
    </w:p>
    <w:p w:rsidR="002C1952" w:rsidRPr="00D62F68" w:rsidRDefault="00A45E2D" w:rsidP="002B1840">
      <w:pPr>
        <w:pStyle w:val="enumlev1"/>
        <w:rPr>
          <w:lang w:val="en-US" w:eastAsia="zh-CN"/>
        </w:rPr>
      </w:pPr>
      <w:r>
        <w:rPr>
          <w:rFonts w:hint="eastAsia"/>
          <w:lang w:val="en-US" w:eastAsia="zh-CN"/>
        </w:rPr>
        <w:t>e)</w:t>
      </w:r>
      <w:r>
        <w:rPr>
          <w:rFonts w:hint="eastAsia"/>
          <w:lang w:val="en-US" w:eastAsia="zh-CN"/>
        </w:rPr>
        <w:tab/>
      </w:r>
      <w:r w:rsidR="00D62F68" w:rsidRPr="00D62F68">
        <w:rPr>
          <w:lang w:val="en-US" w:eastAsia="zh-CN"/>
        </w:rPr>
        <w:t>研究结果及上述考虑证明，拟议的地对空方向的</w:t>
      </w:r>
      <w:r w:rsidR="00D62F68" w:rsidRPr="00D62F68">
        <w:rPr>
          <w:lang w:val="en-US" w:eastAsia="zh-CN"/>
        </w:rPr>
        <w:t>FSS</w:t>
      </w:r>
      <w:r w:rsidR="00D62F68" w:rsidRPr="00D62F68">
        <w:rPr>
          <w:lang w:val="en-US" w:eastAsia="zh-CN"/>
        </w:rPr>
        <w:t>和已有的</w:t>
      </w:r>
      <w:r w:rsidR="00D62F68" w:rsidRPr="00D62F68">
        <w:rPr>
          <w:lang w:val="en-US" w:eastAsia="zh-CN"/>
        </w:rPr>
        <w:t>AMS</w:t>
      </w:r>
      <w:r w:rsidR="00D62F68" w:rsidRPr="00D62F68">
        <w:rPr>
          <w:lang w:val="en-US" w:eastAsia="zh-CN"/>
        </w:rPr>
        <w:t>之间的共用不具可行性。</w:t>
      </w:r>
    </w:p>
    <w:p w:rsidR="008B7229" w:rsidRDefault="00A45E2D" w:rsidP="002B1840">
      <w:pPr>
        <w:rPr>
          <w:b/>
          <w:lang w:val="en-US" w:eastAsia="zh-CN"/>
        </w:rPr>
      </w:pPr>
      <w:r w:rsidRPr="00A45E2D">
        <w:rPr>
          <w:rFonts w:hint="eastAsia"/>
          <w:bCs/>
          <w:lang w:val="en-US" w:eastAsia="zh-CN"/>
        </w:rPr>
        <w:t>2</w:t>
      </w:r>
      <w:r>
        <w:rPr>
          <w:b/>
          <w:lang w:val="en-US" w:eastAsia="zh-CN"/>
        </w:rPr>
        <w:tab/>
      </w:r>
      <w:r w:rsidR="00D62F68">
        <w:rPr>
          <w:rFonts w:hint="eastAsia"/>
          <w:b/>
          <w:lang w:val="en-US" w:eastAsia="zh-CN"/>
        </w:rPr>
        <w:t>对于</w:t>
      </w:r>
      <w:r w:rsidR="002C1952">
        <w:rPr>
          <w:b/>
          <w:lang w:val="en-US" w:eastAsia="zh-CN"/>
        </w:rPr>
        <w:t>14.8-15.35 GHz</w:t>
      </w:r>
      <w:r w:rsidR="00D62F68">
        <w:rPr>
          <w:rFonts w:hint="eastAsia"/>
          <w:b/>
          <w:lang w:val="en-US" w:eastAsia="zh-CN"/>
        </w:rPr>
        <w:t>频段</w:t>
      </w:r>
    </w:p>
    <w:p w:rsidR="002C1952" w:rsidRDefault="00D62F68" w:rsidP="008B7229">
      <w:pPr>
        <w:ind w:firstLineChars="200" w:firstLine="480"/>
        <w:rPr>
          <w:lang w:val="en-US" w:eastAsia="zh-CN"/>
        </w:rPr>
      </w:pPr>
      <w:r>
        <w:rPr>
          <w:rFonts w:hint="eastAsia"/>
          <w:lang w:val="en-US" w:eastAsia="zh-CN"/>
        </w:rPr>
        <w:t>研究指出，</w:t>
      </w:r>
      <w:r>
        <w:rPr>
          <w:lang w:val="en-US" w:eastAsia="zh-CN"/>
        </w:rPr>
        <w:t>14.5-14.8 GHz</w:t>
      </w:r>
      <w:r>
        <w:rPr>
          <w:rFonts w:hint="eastAsia"/>
          <w:lang w:val="en-US" w:eastAsia="zh-CN"/>
        </w:rPr>
        <w:t>频段亦存在相同结论，因此，针对该频段的研究结果证明，</w:t>
      </w:r>
      <w:r w:rsidRPr="00D62F68">
        <w:rPr>
          <w:rFonts w:asciiTheme="majorBidi" w:hAnsiTheme="majorBidi" w:cstheme="majorBidi"/>
          <w:lang w:val="en-US" w:eastAsia="zh-CN"/>
        </w:rPr>
        <w:t>拟议的地对空方向的</w:t>
      </w:r>
      <w:r w:rsidRPr="00D62F68">
        <w:rPr>
          <w:rFonts w:asciiTheme="majorBidi" w:hAnsiTheme="majorBidi" w:cstheme="majorBidi"/>
          <w:lang w:val="en-US" w:eastAsia="zh-CN"/>
        </w:rPr>
        <w:t>FSS</w:t>
      </w:r>
      <w:r w:rsidRPr="00D62F68">
        <w:rPr>
          <w:rFonts w:asciiTheme="majorBidi" w:hAnsiTheme="majorBidi" w:cstheme="majorBidi"/>
          <w:lang w:val="en-US" w:eastAsia="zh-CN"/>
        </w:rPr>
        <w:t>和已有的</w:t>
      </w:r>
      <w:r w:rsidRPr="00D62F68">
        <w:rPr>
          <w:rFonts w:asciiTheme="majorBidi" w:hAnsiTheme="majorBidi" w:cstheme="majorBidi"/>
          <w:lang w:val="en-US" w:eastAsia="zh-CN"/>
        </w:rPr>
        <w:t>AMS</w:t>
      </w:r>
      <w:r w:rsidRPr="00D62F68">
        <w:rPr>
          <w:rFonts w:asciiTheme="majorBidi" w:hAnsiTheme="majorBidi" w:cstheme="majorBidi"/>
          <w:lang w:val="en-US" w:eastAsia="zh-CN"/>
        </w:rPr>
        <w:t>之间的共用不具可行性。</w:t>
      </w:r>
    </w:p>
    <w:p w:rsidR="002C1952" w:rsidRPr="002B1840" w:rsidRDefault="00094508" w:rsidP="002B1840">
      <w:pPr>
        <w:pStyle w:val="headingb0"/>
        <w:rPr>
          <w:lang w:eastAsia="zh-CN"/>
        </w:rPr>
      </w:pPr>
      <w:r w:rsidRPr="002B1840">
        <w:rPr>
          <w:rFonts w:eastAsia="SimSun" w:hint="eastAsia"/>
          <w:lang w:eastAsia="zh-CN"/>
        </w:rPr>
        <w:t>提案</w:t>
      </w:r>
    </w:p>
    <w:p w:rsidR="00A64271" w:rsidRPr="00A45E2D" w:rsidRDefault="00A64271" w:rsidP="004235EF">
      <w:pPr>
        <w:ind w:firstLineChars="200" w:firstLine="480"/>
        <w:rPr>
          <w:lang w:eastAsia="zh-CN"/>
        </w:rPr>
      </w:pPr>
      <w:r w:rsidRPr="00A45E2D">
        <w:rPr>
          <w:rFonts w:hint="eastAsia"/>
          <w:lang w:eastAsia="zh-CN"/>
        </w:rPr>
        <w:t>根据上述考虑，</w:t>
      </w:r>
      <w:r w:rsidR="00E7557D">
        <w:rPr>
          <w:rFonts w:hint="eastAsia"/>
          <w:lang w:eastAsia="zh-CN"/>
        </w:rPr>
        <w:t>奥地利</w:t>
      </w:r>
      <w:r w:rsidRPr="00A45E2D">
        <w:rPr>
          <w:rFonts w:hint="eastAsia"/>
          <w:lang w:eastAsia="zh-CN"/>
        </w:rPr>
        <w:t>、</w:t>
      </w:r>
      <w:r w:rsidR="004235EF" w:rsidRPr="000273B7">
        <w:rPr>
          <w:lang w:eastAsia="zh-CN"/>
        </w:rPr>
        <w:t>比利时</w:t>
      </w:r>
      <w:r w:rsidR="004235EF">
        <w:rPr>
          <w:rFonts w:hint="eastAsia"/>
          <w:lang w:eastAsia="zh-CN"/>
        </w:rPr>
        <w:t>、</w:t>
      </w:r>
      <w:r w:rsidR="004235EF" w:rsidRPr="000273B7">
        <w:rPr>
          <w:lang w:eastAsia="zh-CN"/>
        </w:rPr>
        <w:t>丹麦</w:t>
      </w:r>
      <w:r w:rsidR="004235EF">
        <w:rPr>
          <w:rFonts w:hint="eastAsia"/>
          <w:lang w:eastAsia="zh-CN"/>
        </w:rPr>
        <w:t>、</w:t>
      </w:r>
      <w:r w:rsidR="004235EF" w:rsidRPr="000273B7">
        <w:rPr>
          <w:lang w:eastAsia="zh-CN"/>
        </w:rPr>
        <w:t>爱沙尼亚（共和国）</w:t>
      </w:r>
      <w:r w:rsidR="004235EF">
        <w:rPr>
          <w:rFonts w:hint="eastAsia"/>
          <w:lang w:eastAsia="zh-CN"/>
        </w:rPr>
        <w:t>、</w:t>
      </w:r>
      <w:r w:rsidRPr="00A45E2D">
        <w:rPr>
          <w:rFonts w:hint="eastAsia"/>
          <w:lang w:eastAsia="zh-CN"/>
        </w:rPr>
        <w:t>法国、</w:t>
      </w:r>
      <w:r w:rsidR="004E6849" w:rsidRPr="004E6849">
        <w:rPr>
          <w:rFonts w:hint="eastAsia"/>
          <w:lang w:eastAsia="zh-CN"/>
        </w:rPr>
        <w:t>意大利、</w:t>
      </w:r>
      <w:r w:rsidR="0068086C" w:rsidRPr="000273B7">
        <w:rPr>
          <w:lang w:eastAsia="zh-CN"/>
        </w:rPr>
        <w:t>拉脱维亚（共和国）</w:t>
      </w:r>
      <w:r w:rsidR="0068086C">
        <w:rPr>
          <w:rFonts w:hint="eastAsia"/>
          <w:lang w:eastAsia="zh-CN"/>
        </w:rPr>
        <w:t>、</w:t>
      </w:r>
      <w:r w:rsidR="004E6849">
        <w:rPr>
          <w:rFonts w:hint="eastAsia"/>
          <w:lang w:eastAsia="zh-CN"/>
        </w:rPr>
        <w:t>列支敦士登（公国）、</w:t>
      </w:r>
      <w:r w:rsidR="00A82C11" w:rsidRPr="000273B7">
        <w:rPr>
          <w:lang w:eastAsia="zh-CN"/>
        </w:rPr>
        <w:t>立陶宛（共和国）</w:t>
      </w:r>
      <w:r w:rsidR="00A82C11">
        <w:rPr>
          <w:rFonts w:hint="eastAsia"/>
          <w:lang w:eastAsia="zh-CN"/>
        </w:rPr>
        <w:t>、</w:t>
      </w:r>
      <w:r w:rsidRPr="00A45E2D">
        <w:rPr>
          <w:rFonts w:hint="eastAsia"/>
          <w:lang w:eastAsia="zh-CN"/>
        </w:rPr>
        <w:t>波兰（共和国）</w:t>
      </w:r>
      <w:r w:rsidR="004E6849">
        <w:rPr>
          <w:rFonts w:hint="eastAsia"/>
          <w:lang w:eastAsia="zh-CN"/>
        </w:rPr>
        <w:t>、罗马尼亚和大不列颠及北爱尔兰联合王国</w:t>
      </w:r>
      <w:r w:rsidRPr="00A45E2D">
        <w:rPr>
          <w:rFonts w:hint="eastAsia"/>
          <w:lang w:eastAsia="zh-CN"/>
        </w:rPr>
        <w:t>反对在</w:t>
      </w:r>
      <w:r w:rsidRPr="00A45E2D">
        <w:rPr>
          <w:rFonts w:hint="eastAsia"/>
          <w:lang w:eastAsia="zh-CN"/>
        </w:rPr>
        <w:t>1</w:t>
      </w:r>
      <w:r w:rsidRPr="00A45E2D">
        <w:rPr>
          <w:rFonts w:hint="eastAsia"/>
          <w:lang w:eastAsia="zh-CN"/>
        </w:rPr>
        <w:t>、</w:t>
      </w:r>
      <w:r w:rsidRPr="00A45E2D">
        <w:rPr>
          <w:rFonts w:hint="eastAsia"/>
          <w:lang w:eastAsia="zh-CN"/>
        </w:rPr>
        <w:t>2</w:t>
      </w:r>
      <w:r w:rsidRPr="00A45E2D">
        <w:rPr>
          <w:rFonts w:hint="eastAsia"/>
          <w:lang w:eastAsia="zh-CN"/>
        </w:rPr>
        <w:t>、</w:t>
      </w:r>
      <w:r w:rsidRPr="00A45E2D">
        <w:rPr>
          <w:rFonts w:hint="eastAsia"/>
          <w:lang w:eastAsia="zh-CN"/>
        </w:rPr>
        <w:t>3</w:t>
      </w:r>
      <w:r w:rsidRPr="00A45E2D">
        <w:rPr>
          <w:rFonts w:hint="eastAsia"/>
          <w:lang w:eastAsia="zh-CN"/>
        </w:rPr>
        <w:t>区的</w:t>
      </w:r>
      <w:r w:rsidRPr="00A45E2D">
        <w:rPr>
          <w:lang w:eastAsia="zh-CN"/>
        </w:rPr>
        <w:t>14.5-15.35 GHz</w:t>
      </w:r>
      <w:r w:rsidRPr="00A45E2D">
        <w:rPr>
          <w:rFonts w:hint="eastAsia"/>
          <w:lang w:eastAsia="zh-CN"/>
        </w:rPr>
        <w:t>频率范围内为地对空方向的卫星固定业务做出任何主要业务附加划分，原因在于会</w:t>
      </w:r>
      <w:r w:rsidR="003656D0" w:rsidRPr="00A45E2D">
        <w:rPr>
          <w:rFonts w:hint="eastAsia"/>
          <w:lang w:eastAsia="zh-CN"/>
        </w:rPr>
        <w:t>给</w:t>
      </w:r>
      <w:r w:rsidRPr="00A45E2D">
        <w:rPr>
          <w:rFonts w:hint="eastAsia"/>
          <w:lang w:eastAsia="zh-CN"/>
        </w:rPr>
        <w:t>现有全球业务造成严重干扰。</w:t>
      </w:r>
      <w:r w:rsidRPr="00A45E2D">
        <w:rPr>
          <w:rFonts w:hint="eastAsia"/>
          <w:lang w:eastAsia="zh-CN"/>
        </w:rPr>
        <w:t>WRC-15 79</w:t>
      </w:r>
      <w:r w:rsidRPr="00A45E2D">
        <w:rPr>
          <w:rFonts w:hint="eastAsia"/>
          <w:lang w:eastAsia="zh-CN"/>
        </w:rPr>
        <w:t>号文件</w:t>
      </w:r>
      <w:r w:rsidR="00987DC6" w:rsidRPr="00A45E2D">
        <w:rPr>
          <w:rFonts w:hint="eastAsia"/>
          <w:lang w:eastAsia="zh-CN"/>
        </w:rPr>
        <w:t>中</w:t>
      </w:r>
      <w:r w:rsidRPr="00A45E2D">
        <w:rPr>
          <w:rFonts w:hint="eastAsia"/>
          <w:lang w:eastAsia="zh-CN"/>
        </w:rPr>
        <w:t>的</w:t>
      </w:r>
      <w:r w:rsidRPr="00A45E2D">
        <w:rPr>
          <w:rFonts w:hint="eastAsia"/>
          <w:lang w:eastAsia="zh-CN"/>
        </w:rPr>
        <w:t>NOC</w:t>
      </w:r>
      <w:r w:rsidRPr="00A45E2D">
        <w:rPr>
          <w:rFonts w:hint="eastAsia"/>
          <w:lang w:eastAsia="zh-CN"/>
        </w:rPr>
        <w:t>多国提案</w:t>
      </w:r>
      <w:r w:rsidR="00987DC6" w:rsidRPr="00A45E2D">
        <w:rPr>
          <w:rFonts w:hint="eastAsia"/>
          <w:lang w:eastAsia="zh-CN"/>
        </w:rPr>
        <w:t>已</w:t>
      </w:r>
      <w:r w:rsidRPr="00A45E2D">
        <w:rPr>
          <w:rFonts w:hint="eastAsia"/>
          <w:lang w:eastAsia="zh-CN"/>
        </w:rPr>
        <w:t>申明</w:t>
      </w:r>
      <w:r w:rsidR="00987DC6" w:rsidRPr="00A45E2D">
        <w:rPr>
          <w:rFonts w:hint="eastAsia"/>
          <w:lang w:eastAsia="zh-CN"/>
        </w:rPr>
        <w:t>此立场。</w:t>
      </w:r>
      <w:bookmarkStart w:id="8" w:name="_GoBack"/>
      <w:bookmarkEnd w:id="8"/>
    </w:p>
    <w:p w:rsidR="008B7229" w:rsidRDefault="008B7229" w:rsidP="0032202E">
      <w:pPr>
        <w:pStyle w:val="Reasons"/>
        <w:rPr>
          <w:lang w:eastAsia="zh-CN"/>
        </w:rPr>
      </w:pPr>
    </w:p>
    <w:p w:rsidR="00B868FC" w:rsidRDefault="007F62F0" w:rsidP="00AC655C">
      <w:pPr>
        <w:jc w:val="center"/>
      </w:pPr>
      <w:r>
        <w:t>______________</w:t>
      </w:r>
    </w:p>
    <w:sectPr w:rsidR="00B868F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C1952" w:rsidRDefault="002C1952" w:rsidP="00997213">
    <w:pPr>
      <w:pStyle w:val="Footer"/>
      <w:rPr>
        <w:lang w:val="en-US"/>
      </w:rPr>
    </w:pPr>
    <w:r>
      <w:fldChar w:fldCharType="begin"/>
    </w:r>
    <w:r w:rsidRPr="00DA0469">
      <w:rPr>
        <w:lang w:val="en-US"/>
      </w:rPr>
      <w:instrText xml:space="preserve"> FILENAME \p \* MERGEFORMAT </w:instrText>
    </w:r>
    <w:r>
      <w:fldChar w:fldCharType="separate"/>
    </w:r>
    <w:r w:rsidR="0061426F">
      <w:rPr>
        <w:lang w:val="en-US"/>
      </w:rPr>
      <w:t>P:\TRAD\C\ITU-R\CONF-R\CMR15\100\119REV2C.docx</w:t>
    </w:r>
    <w:r>
      <w:fldChar w:fldCharType="end"/>
    </w:r>
    <w:r w:rsidR="00305C51">
      <w:rPr>
        <w:rFonts w:hint="eastAsia"/>
        <w:lang w:eastAsia="zh-CN"/>
      </w:rPr>
      <w:t xml:space="preserve"> (3</w:t>
    </w:r>
    <w:r w:rsidR="00305C51">
      <w:rPr>
        <w:lang w:eastAsia="zh-CN"/>
      </w:rPr>
      <w:t>90149</w:t>
    </w:r>
    <w:r>
      <w:rPr>
        <w:rFonts w:hint="eastAsia"/>
        <w:lang w:eastAsia="zh-CN"/>
      </w:rPr>
      <w:t>)</w:t>
    </w:r>
    <w:r w:rsidRPr="00DA0469">
      <w:rPr>
        <w:lang w:val="en-US"/>
      </w:rPr>
      <w:tab/>
    </w:r>
    <w:r>
      <w:fldChar w:fldCharType="begin"/>
    </w:r>
    <w:r>
      <w:instrText xml:space="preserve"> savedate \@ dd.MM.yy </w:instrText>
    </w:r>
    <w:r>
      <w:fldChar w:fldCharType="separate"/>
    </w:r>
    <w:r w:rsidR="0061426F">
      <w:t>13.11.15</w:t>
    </w:r>
    <w:r>
      <w:fldChar w:fldCharType="end"/>
    </w:r>
    <w:r w:rsidRPr="00DA0469">
      <w:rPr>
        <w:lang w:val="en-US"/>
      </w:rPr>
      <w:tab/>
    </w:r>
    <w:r>
      <w:fldChar w:fldCharType="begin"/>
    </w:r>
    <w:r>
      <w:instrText xml:space="preserve"> printdate \@ dd.MM.yy </w:instrText>
    </w:r>
    <w:r>
      <w:fldChar w:fldCharType="separate"/>
    </w:r>
    <w:r w:rsidR="0061426F">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997213">
    <w:pPr>
      <w:pStyle w:val="Footer"/>
      <w:rPr>
        <w:lang w:val="en-US"/>
      </w:rPr>
    </w:pPr>
    <w:r>
      <w:fldChar w:fldCharType="begin"/>
    </w:r>
    <w:r w:rsidRPr="00DA0469">
      <w:rPr>
        <w:lang w:val="en-US"/>
      </w:rPr>
      <w:instrText xml:space="preserve"> FILENAME \p \* MERGEFORMAT </w:instrText>
    </w:r>
    <w:r>
      <w:fldChar w:fldCharType="separate"/>
    </w:r>
    <w:r w:rsidR="0061426F">
      <w:rPr>
        <w:lang w:val="en-US"/>
      </w:rPr>
      <w:t>P:\TRAD\C\ITU-R\CONF-R\CMR15\100\119REV2C.docx</w:t>
    </w:r>
    <w:r>
      <w:fldChar w:fldCharType="end"/>
    </w:r>
    <w:r w:rsidR="00305C51">
      <w:rPr>
        <w:rFonts w:hint="eastAsia"/>
        <w:lang w:eastAsia="zh-CN"/>
      </w:rPr>
      <w:t xml:space="preserve"> (3</w:t>
    </w:r>
    <w:r w:rsidR="00305C51">
      <w:rPr>
        <w:lang w:eastAsia="zh-CN"/>
      </w:rPr>
      <w:t>90149</w:t>
    </w:r>
    <w:r w:rsidR="002C1952">
      <w:rPr>
        <w:rFonts w:hint="eastAsia"/>
        <w:lang w:eastAsia="zh-CN"/>
      </w:rPr>
      <w:t>)</w:t>
    </w:r>
    <w:r w:rsidRPr="00DA0469">
      <w:rPr>
        <w:lang w:val="en-US"/>
      </w:rPr>
      <w:tab/>
    </w:r>
    <w:r>
      <w:fldChar w:fldCharType="begin"/>
    </w:r>
    <w:r>
      <w:instrText xml:space="preserve"> savedate \@ dd.MM.yy </w:instrText>
    </w:r>
    <w:r>
      <w:fldChar w:fldCharType="separate"/>
    </w:r>
    <w:r w:rsidR="0061426F">
      <w:t>13.11.15</w:t>
    </w:r>
    <w:r>
      <w:fldChar w:fldCharType="end"/>
    </w:r>
    <w:r w:rsidRPr="00DA0469">
      <w:rPr>
        <w:lang w:val="en-US"/>
      </w:rPr>
      <w:tab/>
    </w:r>
    <w:r>
      <w:fldChar w:fldCharType="begin"/>
    </w:r>
    <w:r>
      <w:instrText xml:space="preserve"> printdate \@ dd.MM.yy </w:instrText>
    </w:r>
    <w:r>
      <w:fldChar w:fldCharType="separate"/>
    </w:r>
    <w:r w:rsidR="0061426F">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1426F">
      <w:rPr>
        <w:rStyle w:val="PageNumber"/>
        <w:noProof/>
      </w:rPr>
      <w:t>2</w:t>
    </w:r>
    <w:r>
      <w:rPr>
        <w:rStyle w:val="PageNumber"/>
      </w:rPr>
      <w:fldChar w:fldCharType="end"/>
    </w:r>
  </w:p>
  <w:p w:rsidR="00B851D4" w:rsidRDefault="00B851D4" w:rsidP="004E6849">
    <w:pPr>
      <w:pStyle w:val="Header"/>
      <w:rPr>
        <w:lang w:val="en-US"/>
      </w:rPr>
    </w:pPr>
    <w:r>
      <w:rPr>
        <w:rStyle w:val="PageNumber"/>
      </w:rPr>
      <w:t>CMR1</w:t>
    </w:r>
    <w:r w:rsidR="00B711CC">
      <w:rPr>
        <w:rStyle w:val="PageNumber"/>
      </w:rPr>
      <w:t>5</w:t>
    </w:r>
    <w:r>
      <w:rPr>
        <w:rStyle w:val="PageNumber"/>
      </w:rPr>
      <w:t>/</w:t>
    </w:r>
    <w:r w:rsidR="00C929E0">
      <w:t>119</w:t>
    </w:r>
    <w:r w:rsidR="00305C51">
      <w:t>(Rev.2</w:t>
    </w:r>
    <w:r w:rsidR="004E6849">
      <w:t>)-</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1B4E"/>
    <w:multiLevelType w:val="hybridMultilevel"/>
    <w:tmpl w:val="CB3C41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76F867D5"/>
    <w:multiLevelType w:val="hybridMultilevel"/>
    <w:tmpl w:val="3FFC28B2"/>
    <w:lvl w:ilvl="0" w:tplc="0410000F">
      <w:start w:val="1"/>
      <w:numFmt w:val="decimal"/>
      <w:lvlText w:val="%1."/>
      <w:lvlJc w:val="left"/>
      <w:pPr>
        <w:ind w:left="3763" w:hanging="360"/>
      </w:pPr>
    </w:lvl>
    <w:lvl w:ilvl="1" w:tplc="04100019">
      <w:start w:val="1"/>
      <w:numFmt w:val="lowerLetter"/>
      <w:lvlText w:val="%2."/>
      <w:lvlJc w:val="left"/>
      <w:pPr>
        <w:ind w:left="4483" w:hanging="360"/>
      </w:pPr>
    </w:lvl>
    <w:lvl w:ilvl="2" w:tplc="0410001B">
      <w:start w:val="1"/>
      <w:numFmt w:val="lowerRoman"/>
      <w:lvlText w:val="%3."/>
      <w:lvlJc w:val="right"/>
      <w:pPr>
        <w:ind w:left="5203" w:hanging="180"/>
      </w:pPr>
    </w:lvl>
    <w:lvl w:ilvl="3" w:tplc="0410000F">
      <w:start w:val="1"/>
      <w:numFmt w:val="decimal"/>
      <w:lvlText w:val="%4."/>
      <w:lvlJc w:val="left"/>
      <w:pPr>
        <w:tabs>
          <w:tab w:val="num" w:pos="5923"/>
        </w:tabs>
        <w:ind w:left="5923" w:hanging="360"/>
      </w:pPr>
    </w:lvl>
    <w:lvl w:ilvl="4" w:tplc="04100019">
      <w:start w:val="1"/>
      <w:numFmt w:val="decimal"/>
      <w:lvlText w:val="%5."/>
      <w:lvlJc w:val="left"/>
      <w:pPr>
        <w:tabs>
          <w:tab w:val="num" w:pos="6643"/>
        </w:tabs>
        <w:ind w:left="6643" w:hanging="360"/>
      </w:pPr>
    </w:lvl>
    <w:lvl w:ilvl="5" w:tplc="0410001B">
      <w:start w:val="1"/>
      <w:numFmt w:val="decimal"/>
      <w:lvlText w:val="%6."/>
      <w:lvlJc w:val="left"/>
      <w:pPr>
        <w:tabs>
          <w:tab w:val="num" w:pos="7363"/>
        </w:tabs>
        <w:ind w:left="7363" w:hanging="360"/>
      </w:pPr>
    </w:lvl>
    <w:lvl w:ilvl="6" w:tplc="0410000F">
      <w:start w:val="1"/>
      <w:numFmt w:val="decimal"/>
      <w:lvlText w:val="%7."/>
      <w:lvlJc w:val="left"/>
      <w:pPr>
        <w:tabs>
          <w:tab w:val="num" w:pos="8083"/>
        </w:tabs>
        <w:ind w:left="8083" w:hanging="360"/>
      </w:pPr>
    </w:lvl>
    <w:lvl w:ilvl="7" w:tplc="04100019">
      <w:start w:val="1"/>
      <w:numFmt w:val="decimal"/>
      <w:lvlText w:val="%8."/>
      <w:lvlJc w:val="left"/>
      <w:pPr>
        <w:tabs>
          <w:tab w:val="num" w:pos="8803"/>
        </w:tabs>
        <w:ind w:left="8803" w:hanging="360"/>
      </w:pPr>
    </w:lvl>
    <w:lvl w:ilvl="8" w:tplc="0410001B">
      <w:start w:val="1"/>
      <w:numFmt w:val="decimal"/>
      <w:lvlText w:val="%9."/>
      <w:lvlJc w:val="left"/>
      <w:pPr>
        <w:tabs>
          <w:tab w:val="num" w:pos="9523"/>
        </w:tabs>
        <w:ind w:left="9523"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6B02"/>
    <w:rsid w:val="00094508"/>
    <w:rsid w:val="000951B0"/>
    <w:rsid w:val="000C09BA"/>
    <w:rsid w:val="000C1F1E"/>
    <w:rsid w:val="000C6AA7"/>
    <w:rsid w:val="000E26F6"/>
    <w:rsid w:val="001226C4"/>
    <w:rsid w:val="00123C07"/>
    <w:rsid w:val="00166859"/>
    <w:rsid w:val="001765EC"/>
    <w:rsid w:val="001827FD"/>
    <w:rsid w:val="001853E8"/>
    <w:rsid w:val="001A2B55"/>
    <w:rsid w:val="001A2D70"/>
    <w:rsid w:val="001B3DF5"/>
    <w:rsid w:val="001B6360"/>
    <w:rsid w:val="001D0C02"/>
    <w:rsid w:val="001E0FEC"/>
    <w:rsid w:val="001F4EA6"/>
    <w:rsid w:val="00214959"/>
    <w:rsid w:val="002260A6"/>
    <w:rsid w:val="00263583"/>
    <w:rsid w:val="002742B3"/>
    <w:rsid w:val="002821C3"/>
    <w:rsid w:val="002A4332"/>
    <w:rsid w:val="002A4C9C"/>
    <w:rsid w:val="002B1840"/>
    <w:rsid w:val="002B509B"/>
    <w:rsid w:val="002C1952"/>
    <w:rsid w:val="002E1E82"/>
    <w:rsid w:val="002E2A59"/>
    <w:rsid w:val="002E4507"/>
    <w:rsid w:val="00305254"/>
    <w:rsid w:val="00305C51"/>
    <w:rsid w:val="003169D2"/>
    <w:rsid w:val="003443AE"/>
    <w:rsid w:val="003656D0"/>
    <w:rsid w:val="003B4BEF"/>
    <w:rsid w:val="003C6B45"/>
    <w:rsid w:val="0041282E"/>
    <w:rsid w:val="004235EF"/>
    <w:rsid w:val="00427AAF"/>
    <w:rsid w:val="00437869"/>
    <w:rsid w:val="00457659"/>
    <w:rsid w:val="00465A34"/>
    <w:rsid w:val="0048639A"/>
    <w:rsid w:val="004A5E00"/>
    <w:rsid w:val="004A64C0"/>
    <w:rsid w:val="004C4554"/>
    <w:rsid w:val="004D2DEC"/>
    <w:rsid w:val="004D6E64"/>
    <w:rsid w:val="004E6849"/>
    <w:rsid w:val="004F2BE6"/>
    <w:rsid w:val="00515D4E"/>
    <w:rsid w:val="00527E8A"/>
    <w:rsid w:val="00537EFA"/>
    <w:rsid w:val="00542E85"/>
    <w:rsid w:val="00562479"/>
    <w:rsid w:val="005633DA"/>
    <w:rsid w:val="00564EF6"/>
    <w:rsid w:val="00576849"/>
    <w:rsid w:val="00594764"/>
    <w:rsid w:val="005A0ACB"/>
    <w:rsid w:val="005B3AB3"/>
    <w:rsid w:val="005E08D2"/>
    <w:rsid w:val="005E7FD8"/>
    <w:rsid w:val="00604039"/>
    <w:rsid w:val="0061426F"/>
    <w:rsid w:val="00622560"/>
    <w:rsid w:val="006241FB"/>
    <w:rsid w:val="00631218"/>
    <w:rsid w:val="00644391"/>
    <w:rsid w:val="00647712"/>
    <w:rsid w:val="00654750"/>
    <w:rsid w:val="00662E12"/>
    <w:rsid w:val="0068086C"/>
    <w:rsid w:val="00691142"/>
    <w:rsid w:val="006B67CE"/>
    <w:rsid w:val="006C3803"/>
    <w:rsid w:val="006C38ED"/>
    <w:rsid w:val="006E6182"/>
    <w:rsid w:val="006F3C60"/>
    <w:rsid w:val="00735A58"/>
    <w:rsid w:val="00736415"/>
    <w:rsid w:val="00741D3E"/>
    <w:rsid w:val="00770D2A"/>
    <w:rsid w:val="007752FD"/>
    <w:rsid w:val="007864F6"/>
    <w:rsid w:val="007B7C4B"/>
    <w:rsid w:val="007C2661"/>
    <w:rsid w:val="007F0FC5"/>
    <w:rsid w:val="007F5C36"/>
    <w:rsid w:val="007F62F0"/>
    <w:rsid w:val="008047DB"/>
    <w:rsid w:val="00807FEB"/>
    <w:rsid w:val="00810F44"/>
    <w:rsid w:val="008129A9"/>
    <w:rsid w:val="00820425"/>
    <w:rsid w:val="008221A4"/>
    <w:rsid w:val="00824BD6"/>
    <w:rsid w:val="0083672D"/>
    <w:rsid w:val="00844734"/>
    <w:rsid w:val="00865DFB"/>
    <w:rsid w:val="00872969"/>
    <w:rsid w:val="00891675"/>
    <w:rsid w:val="008A7416"/>
    <w:rsid w:val="008B6852"/>
    <w:rsid w:val="008B7229"/>
    <w:rsid w:val="008C091E"/>
    <w:rsid w:val="008C26FF"/>
    <w:rsid w:val="008D1D14"/>
    <w:rsid w:val="008E1785"/>
    <w:rsid w:val="008E7127"/>
    <w:rsid w:val="008E7C8E"/>
    <w:rsid w:val="00912959"/>
    <w:rsid w:val="00915E99"/>
    <w:rsid w:val="00953988"/>
    <w:rsid w:val="0096440B"/>
    <w:rsid w:val="009657F9"/>
    <w:rsid w:val="00987DC6"/>
    <w:rsid w:val="0099525B"/>
    <w:rsid w:val="009954C3"/>
    <w:rsid w:val="00997213"/>
    <w:rsid w:val="009A161A"/>
    <w:rsid w:val="009C72B7"/>
    <w:rsid w:val="009E586E"/>
    <w:rsid w:val="00A0052C"/>
    <w:rsid w:val="00A03C5E"/>
    <w:rsid w:val="00A238B2"/>
    <w:rsid w:val="00A31B14"/>
    <w:rsid w:val="00A323DC"/>
    <w:rsid w:val="00A440EC"/>
    <w:rsid w:val="00A45E2D"/>
    <w:rsid w:val="00A466E6"/>
    <w:rsid w:val="00A64271"/>
    <w:rsid w:val="00A67488"/>
    <w:rsid w:val="00A815BE"/>
    <w:rsid w:val="00A82C11"/>
    <w:rsid w:val="00AA5DA1"/>
    <w:rsid w:val="00AC655C"/>
    <w:rsid w:val="00AD2BA1"/>
    <w:rsid w:val="00AE369F"/>
    <w:rsid w:val="00B026CB"/>
    <w:rsid w:val="00B04D5B"/>
    <w:rsid w:val="00B548BC"/>
    <w:rsid w:val="00B711CC"/>
    <w:rsid w:val="00B851D4"/>
    <w:rsid w:val="00B868FC"/>
    <w:rsid w:val="00B95072"/>
    <w:rsid w:val="00BA5AFC"/>
    <w:rsid w:val="00BB26CD"/>
    <w:rsid w:val="00BC19C4"/>
    <w:rsid w:val="00BD5A71"/>
    <w:rsid w:val="00C07239"/>
    <w:rsid w:val="00C1124A"/>
    <w:rsid w:val="00C364B1"/>
    <w:rsid w:val="00C47D87"/>
    <w:rsid w:val="00C627F9"/>
    <w:rsid w:val="00C6584D"/>
    <w:rsid w:val="00C76936"/>
    <w:rsid w:val="00C86655"/>
    <w:rsid w:val="00C921F0"/>
    <w:rsid w:val="00C929E0"/>
    <w:rsid w:val="00C93C5D"/>
    <w:rsid w:val="00CB4E5A"/>
    <w:rsid w:val="00CC0DC8"/>
    <w:rsid w:val="00CC73D7"/>
    <w:rsid w:val="00CD7514"/>
    <w:rsid w:val="00CF0AD7"/>
    <w:rsid w:val="00CF0BE1"/>
    <w:rsid w:val="00D52A14"/>
    <w:rsid w:val="00D561A1"/>
    <w:rsid w:val="00D6206A"/>
    <w:rsid w:val="00D62F68"/>
    <w:rsid w:val="00D74599"/>
    <w:rsid w:val="00DA0469"/>
    <w:rsid w:val="00DD13B7"/>
    <w:rsid w:val="00DE6292"/>
    <w:rsid w:val="00DF3B0C"/>
    <w:rsid w:val="00DF6AA5"/>
    <w:rsid w:val="00E00FB5"/>
    <w:rsid w:val="00E14984"/>
    <w:rsid w:val="00E17252"/>
    <w:rsid w:val="00E22A25"/>
    <w:rsid w:val="00E560F1"/>
    <w:rsid w:val="00E572FA"/>
    <w:rsid w:val="00E7557D"/>
    <w:rsid w:val="00E92319"/>
    <w:rsid w:val="00EC74F6"/>
    <w:rsid w:val="00F225FF"/>
    <w:rsid w:val="00F32E07"/>
    <w:rsid w:val="00F837F4"/>
    <w:rsid w:val="00FC59C4"/>
    <w:rsid w:val="00FE185B"/>
    <w:rsid w:val="00FF6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54B30A-AB40-47AE-9DFF-BF55B695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ListParagraph">
    <w:name w:val="List Paragraph"/>
    <w:basedOn w:val="Normal"/>
    <w:uiPriority w:val="34"/>
    <w:qFormat/>
    <w:rsid w:val="002C1952"/>
    <w:pPr>
      <w:ind w:left="720"/>
      <w:contextualSpacing/>
      <w:textAlignment w:val="auto"/>
    </w:pPr>
    <w:rPr>
      <w:rFonts w:eastAsia="Times New Roman"/>
    </w:rPr>
  </w:style>
  <w:style w:type="paragraph" w:customStyle="1" w:styleId="headingb0">
    <w:name w:val="heading_b"/>
    <w:basedOn w:val="Heading3"/>
    <w:next w:val="Normal"/>
    <w:rsid w:val="002C1952"/>
    <w:pPr>
      <w:tabs>
        <w:tab w:val="left" w:pos="567"/>
        <w:tab w:val="left" w:pos="1701"/>
        <w:tab w:val="left" w:pos="2835"/>
      </w:tabs>
      <w:spacing w:before="160"/>
      <w:ind w:left="0" w:firstLine="0"/>
      <w:textAlignment w:val="auto"/>
      <w:outlineLvl w:val="9"/>
    </w:pPr>
    <w:rPr>
      <w:rFonts w:eastAsia="Times New Roman"/>
      <w:bCs/>
      <w:lang w:val="fr-FR"/>
    </w:rPr>
  </w:style>
  <w:style w:type="character" w:customStyle="1" w:styleId="BRNormalZchn">
    <w:name w:val="BR_Normal Zchn"/>
    <w:basedOn w:val="DefaultParagraphFont"/>
    <w:link w:val="BRNormal"/>
    <w:locked/>
    <w:rsid w:val="002C1952"/>
    <w:rPr>
      <w:rFonts w:ascii="Times New Roman" w:hAnsi="Times New Roman"/>
      <w:sz w:val="24"/>
      <w:lang w:val="en-GB" w:eastAsia="en-US"/>
    </w:rPr>
  </w:style>
  <w:style w:type="paragraph" w:customStyle="1" w:styleId="BRNormal">
    <w:name w:val="BR_Normal"/>
    <w:basedOn w:val="Normal"/>
    <w:link w:val="BRNormalZchn"/>
    <w:qFormat/>
    <w:rsid w:val="002C1952"/>
    <w:pP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93422">
      <w:bodyDiv w:val="1"/>
      <w:marLeft w:val="0"/>
      <w:marRight w:val="0"/>
      <w:marTop w:val="0"/>
      <w:marBottom w:val="0"/>
      <w:divBdr>
        <w:top w:val="none" w:sz="0" w:space="0" w:color="auto"/>
        <w:left w:val="none" w:sz="0" w:space="0" w:color="auto"/>
        <w:bottom w:val="none" w:sz="0" w:space="0" w:color="auto"/>
        <w:right w:val="none" w:sz="0" w:space="0" w:color="auto"/>
      </w:divBdr>
    </w:div>
    <w:div w:id="193489312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R15-WRC15-C-0119!!MSW-C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01A79-9C83-4E1B-86BF-9E62ABFA0933}">
  <ds:schemaRefs>
    <ds:schemaRef ds:uri="32a1a8c5-2265-4ebc-b7a0-2071e2c5c9bb"/>
    <ds:schemaRef ds:uri="996b2e75-67fd-4955-a3b0-5ab9934cb50b"/>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1830</Words>
  <Characters>2315</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R15-WRC15-C-0119!!MSW-C</vt:lpstr>
    </vt:vector>
  </TitlesOfParts>
  <Manager>General Secretariat - Pool</Manager>
  <Company>International Telecommunication Union (ITU)</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R15-WRC15-C-0119!!MSW-C</dc:title>
  <dc:subject>World Radiocommunication Conference - 2015</dc:subject>
  <dc:creator>Documents Proposals Manager (DPM)</dc:creator>
  <cp:keywords>DPM_v5.2015.10.230_prod</cp:keywords>
  <dc:description/>
  <cp:lastModifiedBy>Xu, Hui</cp:lastModifiedBy>
  <cp:revision>25</cp:revision>
  <cp:lastPrinted>2015-11-13T14:40:00Z</cp:lastPrinted>
  <dcterms:created xsi:type="dcterms:W3CDTF">2015-11-13T14:01:00Z</dcterms:created>
  <dcterms:modified xsi:type="dcterms:W3CDTF">2015-11-13T14:42:00Z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