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AA2712"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AA2712"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AA2712"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AA2712">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AA2712" w:rsidRDefault="003E1608" w:rsidP="003E1608">
            <w:pPr>
              <w:pStyle w:val="Adress"/>
              <w:framePr w:hSpace="0" w:wrap="auto" w:xAlign="left" w:yAlign="inline"/>
              <w:rPr>
                <w:rFonts w:ascii="Verdana" w:hAnsi="Verdana"/>
                <w:rtl/>
              </w:rPr>
            </w:pPr>
            <w:r w:rsidRPr="00AA2712">
              <w:rPr>
                <w:rFonts w:ascii="Verdana" w:hAnsi="Verdana"/>
                <w:rtl/>
              </w:rPr>
              <w:t xml:space="preserve">الوثيقة </w:t>
            </w:r>
            <w:r w:rsidRPr="00AA2712">
              <w:rPr>
                <w:rFonts w:ascii="Verdana" w:hAnsi="Verdana"/>
              </w:rPr>
              <w:t>125-</w:t>
            </w:r>
            <w:r w:rsidR="00AA2712" w:rsidRPr="00AA2712">
              <w:rPr>
                <w:rFonts w:ascii="Verdana" w:hAnsi="Verdana"/>
              </w:rPr>
              <w:t>A</w:t>
            </w:r>
          </w:p>
        </w:tc>
      </w:tr>
      <w:tr w:rsidR="00764079" w:rsidTr="003E1608">
        <w:trPr>
          <w:cantSplit/>
        </w:trPr>
        <w:tc>
          <w:tcPr>
            <w:tcW w:w="6619" w:type="dxa"/>
            <w:shd w:val="clear" w:color="auto" w:fill="auto"/>
          </w:tcPr>
          <w:p w:rsidR="00764079" w:rsidRPr="00AA2712"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AA2712" w:rsidRDefault="00764079" w:rsidP="00D44350">
            <w:pPr>
              <w:pStyle w:val="Adress"/>
              <w:framePr w:hSpace="0" w:wrap="auto" w:xAlign="left" w:yAlign="inline"/>
              <w:rPr>
                <w:rFonts w:ascii="Verdana" w:hAnsi="Verdana"/>
                <w:rtl/>
              </w:rPr>
            </w:pPr>
            <w:r w:rsidRPr="00AA2712">
              <w:rPr>
                <w:rFonts w:ascii="Verdana" w:eastAsia="SimSun" w:hAnsi="Verdana"/>
              </w:rPr>
              <w:t>19</w:t>
            </w:r>
            <w:r w:rsidRPr="00AA2712">
              <w:rPr>
                <w:rFonts w:ascii="Verdana" w:eastAsia="SimSun" w:hAnsi="Verdana"/>
                <w:rtl/>
              </w:rPr>
              <w:t xml:space="preserve"> أكتوبر </w:t>
            </w:r>
            <w:r w:rsidRPr="00AA2712">
              <w:rPr>
                <w:rFonts w:ascii="Verdana" w:eastAsia="SimSun" w:hAnsi="Verdana"/>
              </w:rPr>
              <w:t>2015</w:t>
            </w:r>
          </w:p>
        </w:tc>
      </w:tr>
      <w:tr w:rsidR="00764079" w:rsidTr="003E1608">
        <w:trPr>
          <w:cantSplit/>
        </w:trPr>
        <w:tc>
          <w:tcPr>
            <w:tcW w:w="6619" w:type="dxa"/>
          </w:tcPr>
          <w:p w:rsidR="00764079" w:rsidRPr="00AA2712" w:rsidRDefault="00764079" w:rsidP="00D44350">
            <w:pPr>
              <w:pStyle w:val="Adress"/>
              <w:framePr w:hSpace="0" w:wrap="auto" w:xAlign="left" w:yAlign="inline"/>
              <w:rPr>
                <w:rFonts w:ascii="Verdana" w:eastAsia="SimSun" w:hAnsi="Verdana"/>
                <w:rtl/>
              </w:rPr>
            </w:pPr>
          </w:p>
        </w:tc>
        <w:tc>
          <w:tcPr>
            <w:tcW w:w="3053" w:type="dxa"/>
            <w:vAlign w:val="center"/>
          </w:tcPr>
          <w:p w:rsidR="00764079" w:rsidRPr="00AA2712" w:rsidRDefault="00764079" w:rsidP="00D44350">
            <w:pPr>
              <w:pStyle w:val="Adress"/>
              <w:framePr w:hSpace="0" w:wrap="auto" w:xAlign="left" w:yAlign="inline"/>
              <w:rPr>
                <w:rFonts w:ascii="Verdana" w:eastAsia="SimSun" w:hAnsi="Verdana"/>
              </w:rPr>
            </w:pPr>
            <w:r w:rsidRPr="00AA2712">
              <w:rPr>
                <w:rFonts w:ascii="Verdana" w:eastAsia="SimSun" w:hAnsi="Verdana"/>
                <w:rtl/>
              </w:rPr>
              <w:t>الأصل: بالإنكليزية</w:t>
            </w:r>
          </w:p>
        </w:tc>
      </w:tr>
      <w:tr w:rsidR="00764079" w:rsidTr="003E1608">
        <w:trPr>
          <w:cantSplit/>
        </w:trPr>
        <w:tc>
          <w:tcPr>
            <w:tcW w:w="9672" w:type="dxa"/>
            <w:gridSpan w:val="2"/>
          </w:tcPr>
          <w:p w:rsidR="00764079" w:rsidRPr="00AA2712"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ألمانيا الاتحادية</w:t>
            </w:r>
          </w:p>
        </w:tc>
      </w:tr>
      <w:tr w:rsidR="00764079" w:rsidTr="003E1608">
        <w:trPr>
          <w:cantSplit/>
        </w:trPr>
        <w:tc>
          <w:tcPr>
            <w:tcW w:w="9672" w:type="dxa"/>
            <w:gridSpan w:val="2"/>
          </w:tcPr>
          <w:p w:rsidR="00764079" w:rsidRPr="00BD6EF3" w:rsidRDefault="00AA2712" w:rsidP="00AA2712">
            <w:pPr>
              <w:pStyle w:val="Title1"/>
              <w:spacing w:before="240"/>
              <w:rPr>
                <w:rtl/>
              </w:rPr>
            </w:pPr>
            <w:r>
              <w:rPr>
                <w:rFonts w:hint="cs"/>
                <w:rtl/>
              </w:rPr>
              <w:t>مقترحات بشأن أعمال ال</w:t>
            </w:r>
            <w:r w:rsidR="00D53B1B">
              <w:rPr>
                <w:rFonts w:hint="cs"/>
                <w:rtl/>
              </w:rPr>
              <w:t>‍</w:t>
            </w:r>
            <w:r>
              <w:rPr>
                <w:rFonts w:hint="cs"/>
                <w:rtl/>
              </w:rPr>
              <w:t>مؤت</w:t>
            </w:r>
            <w:r w:rsidR="00D53B1B">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AA2712">
            <w:pPr>
              <w:pStyle w:val="Agendaitem"/>
              <w:spacing w:before="240" w:line="192" w:lineRule="auto"/>
            </w:pPr>
            <w:r w:rsidRPr="008204AC">
              <w:rPr>
                <w:rtl/>
              </w:rPr>
              <w:t xml:space="preserve">البنـد </w:t>
            </w:r>
            <w:r w:rsidR="00AA2712">
              <w:t>5.1</w:t>
            </w:r>
            <w:r w:rsidRPr="008204AC">
              <w:rPr>
                <w:rtl/>
              </w:rPr>
              <w:t xml:space="preserve"> من جدول الأعمال</w:t>
            </w:r>
          </w:p>
        </w:tc>
      </w:tr>
    </w:tbl>
    <w:p w:rsidR="001D597A" w:rsidRPr="00431196" w:rsidRDefault="00AA2712" w:rsidP="00AA2712">
      <w:pPr>
        <w:pStyle w:val="Normalaftertitle"/>
        <w:rPr>
          <w:rFonts w:eastAsia="SimSun"/>
          <w:rtl/>
        </w:rPr>
      </w:pPr>
      <w:r w:rsidRPr="00431196">
        <w:rPr>
          <w:rFonts w:eastAsia="SimSun"/>
        </w:rPr>
        <w:t>5.1</w:t>
      </w:r>
      <w:r w:rsidRPr="00431196">
        <w:rPr>
          <w:rFonts w:eastAsia="SimSun" w:hint="cs"/>
          <w:rtl/>
        </w:rPr>
        <w:tab/>
        <w:t xml:space="preserve">النظر في استعمال نطاقات التردد الموزعة للخدمة الثابتة الساتلية التي لا تخضع للتذييلات </w:t>
      </w:r>
      <w:r w:rsidRPr="00431196">
        <w:rPr>
          <w:rFonts w:eastAsia="SimSun"/>
          <w:b/>
          <w:bCs/>
        </w:rPr>
        <w:t>30</w:t>
      </w:r>
      <w:r w:rsidRPr="00431196">
        <w:rPr>
          <w:rFonts w:eastAsia="SimSun" w:hint="cs"/>
          <w:rtl/>
        </w:rPr>
        <w:t xml:space="preserve"> و</w:t>
      </w:r>
      <w:r w:rsidRPr="00431196">
        <w:rPr>
          <w:rFonts w:eastAsia="SimSun"/>
          <w:b/>
          <w:bCs/>
        </w:rPr>
        <w:t>30A</w:t>
      </w:r>
      <w:r w:rsidRPr="00431196">
        <w:rPr>
          <w:rFonts w:eastAsia="SimSun" w:hint="cs"/>
          <w:rtl/>
        </w:rPr>
        <w:t xml:space="preserve"> و</w:t>
      </w:r>
      <w:r w:rsidRPr="00431196">
        <w:rPr>
          <w:rFonts w:eastAsia="SimSun"/>
          <w:b/>
          <w:bCs/>
        </w:rPr>
        <w:t>30B</w:t>
      </w:r>
      <w:r w:rsidRPr="00431196">
        <w:rPr>
          <w:rFonts w:eastAsia="SimSun" w:hint="cs"/>
          <w:rtl/>
        </w:rPr>
        <w:t xml:space="preserve"> من</w:t>
      </w:r>
      <w:r>
        <w:rPr>
          <w:rFonts w:eastAsia="SimSun" w:hint="eastAsia"/>
          <w:rtl/>
        </w:rPr>
        <w:t> </w:t>
      </w:r>
      <w:r w:rsidRPr="00431196">
        <w:rPr>
          <w:rFonts w:eastAsia="SimSun" w:hint="cs"/>
          <w:rtl/>
        </w:rPr>
        <w:t>أجل اتصالات المراقبة والاتصالات خارج الحمولة النافعة لأنظمة الطائرات دون طيار في الفضاء الجوي غير المحجوز، وفقاً للقرار</w:t>
      </w:r>
      <w:r w:rsidRPr="00431196">
        <w:rPr>
          <w:rFonts w:eastAsia="SimSun" w:hint="eastAsia"/>
          <w:rtl/>
        </w:rPr>
        <w:t> </w:t>
      </w:r>
      <w:r w:rsidRPr="00431196">
        <w:rPr>
          <w:rFonts w:eastAsia="SimSun"/>
          <w:b/>
          <w:bCs/>
        </w:rPr>
        <w:t>153 (WRC</w:t>
      </w:r>
      <w:r w:rsidRPr="00431196">
        <w:rPr>
          <w:rFonts w:eastAsia="SimSun"/>
          <w:b/>
          <w:bCs/>
        </w:rPr>
        <w:noBreakHyphen/>
        <w:t>12)</w:t>
      </w:r>
      <w:r w:rsidRPr="00431196">
        <w:rPr>
          <w:rFonts w:eastAsia="SimSun" w:hint="cs"/>
          <w:rtl/>
        </w:rPr>
        <w:t>؛</w:t>
      </w:r>
    </w:p>
    <w:p w:rsidR="00F16602" w:rsidRDefault="00AA2712" w:rsidP="00AA2712">
      <w:pPr>
        <w:pStyle w:val="Headingb"/>
        <w:rPr>
          <w:rtl/>
        </w:rPr>
      </w:pPr>
      <w:r>
        <w:rPr>
          <w:rFonts w:hint="cs"/>
          <w:rtl/>
        </w:rPr>
        <w:t>مقدمة</w:t>
      </w:r>
    </w:p>
    <w:p w:rsidR="00112F2E" w:rsidRPr="00E60DCB" w:rsidRDefault="00112F2E" w:rsidP="00D53B1B">
      <w:pPr>
        <w:rPr>
          <w:rtl/>
          <w:lang w:val="en-GB"/>
        </w:rPr>
      </w:pPr>
      <w:r>
        <w:rPr>
          <w:rFonts w:hint="cs"/>
          <w:rtl/>
          <w:lang w:val="en-GB"/>
        </w:rPr>
        <w:t xml:space="preserve">أجرت </w:t>
      </w:r>
      <w:r w:rsidRPr="00E60DCB">
        <w:rPr>
          <w:rtl/>
          <w:lang w:bidi="ar"/>
        </w:rPr>
        <w:t>فرقة العمل</w:t>
      </w:r>
      <w:r w:rsidR="00D53B1B">
        <w:rPr>
          <w:rFonts w:hint="eastAsia"/>
          <w:rtl/>
          <w:lang w:bidi="ar"/>
        </w:rPr>
        <w:t> </w:t>
      </w:r>
      <w:r w:rsidRPr="00E60DCB">
        <w:rPr>
          <w:lang w:val="en-GB"/>
        </w:rPr>
        <w:t>5B</w:t>
      </w:r>
      <w:r>
        <w:rPr>
          <w:rFonts w:hint="cs"/>
          <w:rtl/>
          <w:lang w:val="en-GB"/>
        </w:rPr>
        <w:t xml:space="preserve"> </w:t>
      </w:r>
      <w:r w:rsidRPr="00E60DCB">
        <w:rPr>
          <w:rtl/>
          <w:lang w:bidi="ar"/>
        </w:rPr>
        <w:t xml:space="preserve">دراسات </w:t>
      </w:r>
      <w:r w:rsidR="00D53B1B">
        <w:rPr>
          <w:rFonts w:hint="cs"/>
          <w:rtl/>
          <w:lang w:bidi="ar"/>
        </w:rPr>
        <w:t>تقاسُم</w:t>
      </w:r>
      <w:r w:rsidRPr="00E60DCB">
        <w:rPr>
          <w:rtl/>
          <w:lang w:bidi="ar"/>
        </w:rPr>
        <w:t xml:space="preserve"> مفصلة مع الخدمات القائمة </w:t>
      </w:r>
      <w:r>
        <w:rPr>
          <w:rFonts w:hint="cs"/>
          <w:rtl/>
          <w:lang w:bidi="ar"/>
        </w:rPr>
        <w:t>ل</w:t>
      </w:r>
      <w:r w:rsidRPr="00E60DCB">
        <w:rPr>
          <w:rtl/>
          <w:lang w:bidi="ar"/>
        </w:rPr>
        <w:t xml:space="preserve">تحديد الشروط اللازمة لتشغيل الوصلات الراديوية لأنظمة </w:t>
      </w:r>
      <w:r>
        <w:rPr>
          <w:rFonts w:hint="cs"/>
          <w:rtl/>
          <w:lang w:bidi="ar"/>
        </w:rPr>
        <w:t>اتصالات التحكم وغير ذات الصلة بالحمولة ما بعد</w:t>
      </w:r>
      <w:r w:rsidR="00D53B1B">
        <w:rPr>
          <w:rFonts w:hint="eastAsia"/>
          <w:rtl/>
          <w:lang w:bidi="ar"/>
        </w:rPr>
        <w:t> </w:t>
      </w:r>
      <w:r>
        <w:rPr>
          <w:rFonts w:hint="cs"/>
          <w:rtl/>
          <w:lang w:bidi="ar"/>
        </w:rPr>
        <w:t>خط البصر</w:t>
      </w:r>
      <w:r w:rsidRPr="00E60DCB">
        <w:rPr>
          <w:rtl/>
          <w:lang w:bidi="ar"/>
        </w:rPr>
        <w:t xml:space="preserve"> </w:t>
      </w:r>
      <w:r>
        <w:rPr>
          <w:rFonts w:hint="cs"/>
          <w:rtl/>
          <w:lang w:bidi="ar"/>
        </w:rPr>
        <w:t>الراديوي</w:t>
      </w:r>
      <w:r w:rsidRPr="00E60DCB">
        <w:rPr>
          <w:rtl/>
          <w:lang w:bidi="ar"/>
        </w:rPr>
        <w:t xml:space="preserve"> </w:t>
      </w:r>
      <w:r>
        <w:rPr>
          <w:rFonts w:hint="cs"/>
          <w:rtl/>
          <w:lang w:bidi="ar"/>
        </w:rPr>
        <w:t>ل</w:t>
      </w:r>
      <w:r w:rsidRPr="00E60DCB">
        <w:rPr>
          <w:rtl/>
          <w:lang w:bidi="ar"/>
        </w:rPr>
        <w:t>لطائرات بدون طيار</w:t>
      </w:r>
      <w:r w:rsidR="00D53B1B">
        <w:rPr>
          <w:rFonts w:hint="cs"/>
          <w:rtl/>
          <w:lang w:bidi="ar"/>
        </w:rPr>
        <w:t> </w:t>
      </w:r>
      <w:r w:rsidR="00D53B1B">
        <w:rPr>
          <w:lang w:bidi="ar"/>
        </w:rPr>
        <w:t>(</w:t>
      </w:r>
      <w:r w:rsidRPr="00E60DCB">
        <w:rPr>
          <w:lang w:val="en-GB"/>
        </w:rPr>
        <w:t>UAS BLOS CNPC</w:t>
      </w:r>
      <w:r w:rsidR="00D53B1B">
        <w:rPr>
          <w:lang w:bidi="ar"/>
        </w:rPr>
        <w:t>)</w:t>
      </w:r>
      <w:r>
        <w:rPr>
          <w:rFonts w:hint="cs"/>
          <w:rtl/>
          <w:lang w:bidi="ar"/>
        </w:rPr>
        <w:t>. ودُرست هذه الوصلات الراديوية</w:t>
      </w:r>
      <w:r w:rsidRPr="00112F2E">
        <w:rPr>
          <w:rtl/>
          <w:lang w:bidi="ar"/>
        </w:rPr>
        <w:t xml:space="preserve"> </w:t>
      </w:r>
      <w:r w:rsidRPr="00E60DCB">
        <w:rPr>
          <w:rtl/>
          <w:lang w:bidi="ar"/>
        </w:rPr>
        <w:t xml:space="preserve">كتطبيق </w:t>
      </w:r>
      <w:r>
        <w:rPr>
          <w:rFonts w:hint="cs"/>
          <w:rtl/>
          <w:lang w:bidi="ar"/>
        </w:rPr>
        <w:t>ل</w:t>
      </w:r>
      <w:r w:rsidRPr="00E60DCB">
        <w:rPr>
          <w:rtl/>
          <w:lang w:bidi="ar"/>
        </w:rPr>
        <w:t xml:space="preserve">لأنظمة </w:t>
      </w:r>
      <w:r>
        <w:rPr>
          <w:rFonts w:hint="cs"/>
          <w:rtl/>
          <w:lang w:bidi="ar"/>
        </w:rPr>
        <w:t>الساتلية</w:t>
      </w:r>
      <w:r w:rsidRPr="00E60DCB">
        <w:rPr>
          <w:rtl/>
          <w:lang w:bidi="ar"/>
        </w:rPr>
        <w:t xml:space="preserve"> والشبكات العاملة في الخدمة الثابتة الساتلية</w:t>
      </w:r>
      <w:r w:rsidR="00D53B1B">
        <w:rPr>
          <w:rFonts w:hint="cs"/>
          <w:rtl/>
          <w:lang w:bidi="ar"/>
        </w:rPr>
        <w:t> </w:t>
      </w:r>
      <w:r w:rsidR="00D53B1B">
        <w:rPr>
          <w:lang w:bidi="ar"/>
        </w:rPr>
        <w:t>(</w:t>
      </w:r>
      <w:r w:rsidRPr="00E60DCB">
        <w:t>FSS</w:t>
      </w:r>
      <w:r w:rsidR="00D53B1B">
        <w:rPr>
          <w:lang w:bidi="ar"/>
        </w:rPr>
        <w:t>)</w:t>
      </w:r>
      <w:r w:rsidRPr="00E60DCB">
        <w:rPr>
          <w:rtl/>
          <w:lang w:bidi="ar"/>
        </w:rPr>
        <w:t>.</w:t>
      </w:r>
    </w:p>
    <w:p w:rsidR="0015042A" w:rsidRDefault="0015042A" w:rsidP="00D53B1B">
      <w:pPr>
        <w:rPr>
          <w:rtl/>
        </w:rPr>
      </w:pPr>
      <w:r w:rsidRPr="00E60DCB">
        <w:rPr>
          <w:rtl/>
          <w:lang w:bidi="ar"/>
        </w:rPr>
        <w:t>وتبين نتائج الدراسة،</w:t>
      </w:r>
      <w:r>
        <w:rPr>
          <w:rFonts w:hint="cs"/>
          <w:rtl/>
          <w:lang w:bidi="ar"/>
        </w:rPr>
        <w:t xml:space="preserve"> أن الالتزام بالشروط التي يحددها </w:t>
      </w:r>
      <w:r w:rsidRPr="00E60DCB">
        <w:rPr>
          <w:rtl/>
          <w:lang w:bidi="ar"/>
        </w:rPr>
        <w:t>الإطار التنظيمي</w:t>
      </w:r>
      <w:r w:rsidRPr="00112F2E">
        <w:rPr>
          <w:rFonts w:eastAsia="SimSun" w:hint="cs"/>
          <w:rtl/>
        </w:rPr>
        <w:t xml:space="preserve"> </w:t>
      </w:r>
      <w:r w:rsidRPr="00431196">
        <w:rPr>
          <w:rFonts w:eastAsia="SimSun" w:hint="cs"/>
          <w:rtl/>
        </w:rPr>
        <w:t>للخدمة الثابتة الساتلية</w:t>
      </w:r>
      <w:r>
        <w:rPr>
          <w:rFonts w:eastAsia="SimSun" w:hint="cs"/>
          <w:rtl/>
        </w:rPr>
        <w:t xml:space="preserve"> </w:t>
      </w:r>
      <w:r w:rsidRPr="00E60DCB">
        <w:rPr>
          <w:rtl/>
          <w:lang w:bidi="ar"/>
        </w:rPr>
        <w:t xml:space="preserve">وضمان التوافق </w:t>
      </w:r>
      <w:r>
        <w:rPr>
          <w:rFonts w:hint="cs"/>
          <w:rtl/>
          <w:lang w:bidi="ar"/>
        </w:rPr>
        <w:t>بين</w:t>
      </w:r>
      <w:r w:rsidRPr="00E60DCB">
        <w:rPr>
          <w:rtl/>
          <w:lang w:bidi="ar"/>
        </w:rPr>
        <w:t xml:space="preserve"> المحطات العاملة على متن</w:t>
      </w:r>
      <w:r w:rsidRPr="00112F2E">
        <w:rPr>
          <w:rFonts w:hint="cs"/>
          <w:rtl/>
          <w:lang w:bidi="ar"/>
        </w:rPr>
        <w:t xml:space="preserve"> </w:t>
      </w:r>
      <w:r>
        <w:rPr>
          <w:rFonts w:hint="cs"/>
          <w:rtl/>
          <w:lang w:bidi="ar"/>
        </w:rPr>
        <w:t>ا</w:t>
      </w:r>
      <w:r w:rsidRPr="00E60DCB">
        <w:rPr>
          <w:rtl/>
          <w:lang w:bidi="ar"/>
        </w:rPr>
        <w:t>لطائرات بدون طيار</w:t>
      </w:r>
      <w:r>
        <w:rPr>
          <w:rFonts w:hint="cs"/>
          <w:rtl/>
          <w:lang w:bidi="ar"/>
        </w:rPr>
        <w:t>/ا</w:t>
      </w:r>
      <w:r w:rsidRPr="00E60DCB">
        <w:rPr>
          <w:rtl/>
          <w:lang w:bidi="ar"/>
        </w:rPr>
        <w:t>لطائرات</w:t>
      </w:r>
      <w:r>
        <w:rPr>
          <w:rFonts w:hint="cs"/>
          <w:rtl/>
          <w:lang w:bidi="ar"/>
        </w:rPr>
        <w:t xml:space="preserve"> الموجهة عن ب</w:t>
      </w:r>
      <w:r w:rsidR="00D53B1B">
        <w:rPr>
          <w:rFonts w:hint="cs"/>
          <w:rtl/>
          <w:lang w:bidi="ar"/>
        </w:rPr>
        <w:t>ُ</w:t>
      </w:r>
      <w:r>
        <w:rPr>
          <w:rFonts w:hint="cs"/>
          <w:rtl/>
          <w:lang w:bidi="ar"/>
        </w:rPr>
        <w:t>عد</w:t>
      </w:r>
      <w:r w:rsidR="00D53B1B">
        <w:rPr>
          <w:rFonts w:hint="eastAsia"/>
          <w:rtl/>
          <w:lang w:bidi="ar"/>
        </w:rPr>
        <w:t> </w:t>
      </w:r>
      <w:r w:rsidR="00D53B1B">
        <w:rPr>
          <w:lang w:bidi="ar"/>
        </w:rPr>
        <w:t>(</w:t>
      </w:r>
      <w:r w:rsidRPr="00E60DCB">
        <w:rPr>
          <w:lang w:val="en-GB"/>
        </w:rPr>
        <w:t>UA/RPA</w:t>
      </w:r>
      <w:r w:rsidR="00D53B1B">
        <w:rPr>
          <w:lang w:bidi="ar"/>
        </w:rPr>
        <w:t>)</w:t>
      </w:r>
      <w:r>
        <w:rPr>
          <w:rFonts w:hint="cs"/>
          <w:rtl/>
          <w:lang w:bidi="ar"/>
        </w:rPr>
        <w:t xml:space="preserve"> </w:t>
      </w:r>
      <w:r w:rsidRPr="00E60DCB">
        <w:rPr>
          <w:rtl/>
          <w:lang w:bidi="ar"/>
        </w:rPr>
        <w:t>والمحطات العاملة في الخدمة الثابتة</w:t>
      </w:r>
      <w:r w:rsidR="00D53B1B">
        <w:rPr>
          <w:rFonts w:hint="cs"/>
          <w:rtl/>
          <w:lang w:bidi="ar"/>
        </w:rPr>
        <w:t> </w:t>
      </w:r>
      <w:r w:rsidR="00D53B1B">
        <w:rPr>
          <w:lang w:bidi="ar"/>
        </w:rPr>
        <w:t>(</w:t>
      </w:r>
      <w:r w:rsidRPr="00E60DCB">
        <w:t>FS</w:t>
      </w:r>
      <w:r w:rsidR="00D53B1B">
        <w:rPr>
          <w:lang w:bidi="ar"/>
        </w:rPr>
        <w:t>)</w:t>
      </w:r>
      <w:r w:rsidRPr="00E60DCB">
        <w:rPr>
          <w:rtl/>
          <w:lang w:bidi="ar"/>
        </w:rPr>
        <w:t>،</w:t>
      </w:r>
      <w:r w:rsidRPr="00112F2E">
        <w:rPr>
          <w:rFonts w:hint="cs"/>
          <w:rtl/>
        </w:rPr>
        <w:t xml:space="preserve"> </w:t>
      </w:r>
      <w:r>
        <w:rPr>
          <w:rFonts w:hint="cs"/>
          <w:rtl/>
        </w:rPr>
        <w:t>يتطلب الإيفاء</w:t>
      </w:r>
      <w:r w:rsidRPr="00E60DCB">
        <w:rPr>
          <w:rtl/>
          <w:lang w:bidi="ar"/>
        </w:rPr>
        <w:t xml:space="preserve"> </w:t>
      </w:r>
      <w:r>
        <w:rPr>
          <w:rFonts w:hint="cs"/>
          <w:rtl/>
          <w:lang w:bidi="ar"/>
        </w:rPr>
        <w:t>ب</w:t>
      </w:r>
      <w:r w:rsidRPr="00E60DCB">
        <w:rPr>
          <w:rtl/>
          <w:lang w:bidi="ar"/>
        </w:rPr>
        <w:t xml:space="preserve">بعض الشروط </w:t>
      </w:r>
      <w:r>
        <w:rPr>
          <w:rFonts w:hint="cs"/>
          <w:rtl/>
          <w:lang w:bidi="ar"/>
        </w:rPr>
        <w:t>التقنية</w:t>
      </w:r>
      <w:r w:rsidRPr="00E60DCB">
        <w:rPr>
          <w:rtl/>
          <w:lang w:bidi="ar"/>
        </w:rPr>
        <w:t xml:space="preserve"> والتشغيلية</w:t>
      </w:r>
      <w:r>
        <w:rPr>
          <w:rFonts w:hint="cs"/>
          <w:rtl/>
          <w:lang w:bidi="ar"/>
        </w:rPr>
        <w:t>.</w:t>
      </w:r>
      <w:r w:rsidRPr="0015042A">
        <w:rPr>
          <w:rFonts w:hint="cs"/>
          <w:rtl/>
          <w:lang w:bidi="ar"/>
        </w:rPr>
        <w:t xml:space="preserve"> </w:t>
      </w:r>
      <w:r>
        <w:rPr>
          <w:rFonts w:hint="cs"/>
          <w:rtl/>
          <w:lang w:bidi="ar"/>
        </w:rPr>
        <w:t>وحُددت</w:t>
      </w:r>
      <w:r w:rsidRPr="00E60DCB">
        <w:rPr>
          <w:rtl/>
          <w:lang w:bidi="ar"/>
        </w:rPr>
        <w:t xml:space="preserve"> هذه الشروط </w:t>
      </w:r>
      <w:r>
        <w:rPr>
          <w:rFonts w:hint="cs"/>
          <w:rtl/>
          <w:lang w:bidi="ar"/>
        </w:rPr>
        <w:t>التقنية</w:t>
      </w:r>
      <w:r w:rsidRPr="00E60DCB">
        <w:rPr>
          <w:rtl/>
          <w:lang w:bidi="ar"/>
        </w:rPr>
        <w:t xml:space="preserve"> والتشغيلية والتنظيمية </w:t>
      </w:r>
      <w:r>
        <w:rPr>
          <w:rFonts w:hint="cs"/>
          <w:rtl/>
          <w:lang w:bidi="ar"/>
        </w:rPr>
        <w:t>وهي تُقترح</w:t>
      </w:r>
      <w:r w:rsidRPr="00E60DCB">
        <w:rPr>
          <w:rtl/>
          <w:lang w:bidi="ar"/>
        </w:rPr>
        <w:t xml:space="preserve"> </w:t>
      </w:r>
      <w:r>
        <w:rPr>
          <w:rFonts w:hint="cs"/>
          <w:rtl/>
          <w:lang w:bidi="ar"/>
        </w:rPr>
        <w:t>فيما يلي</w:t>
      </w:r>
      <w:r w:rsidRPr="00E60DCB">
        <w:rPr>
          <w:rtl/>
          <w:lang w:bidi="ar"/>
        </w:rPr>
        <w:t xml:space="preserve"> </w:t>
      </w:r>
      <w:r>
        <w:rPr>
          <w:rFonts w:hint="cs"/>
          <w:rtl/>
          <w:lang w:bidi="ar"/>
        </w:rPr>
        <w:t>كجزء أساسي</w:t>
      </w:r>
      <w:r w:rsidRPr="00E60DCB">
        <w:rPr>
          <w:rtl/>
          <w:lang w:bidi="ar"/>
        </w:rPr>
        <w:t xml:space="preserve"> من قرار جديد</w:t>
      </w:r>
      <w:r w:rsidRPr="0015042A">
        <w:rPr>
          <w:rtl/>
        </w:rPr>
        <w:t xml:space="preserve"> </w:t>
      </w:r>
      <w:r>
        <w:rPr>
          <w:rFonts w:hint="cs"/>
          <w:rtl/>
        </w:rPr>
        <w:t>ل</w:t>
      </w:r>
      <w:r w:rsidRPr="0015042A">
        <w:rPr>
          <w:rtl/>
          <w:lang w:bidi="ar"/>
        </w:rPr>
        <w:t>لمؤتمر العالمي للاتصالات الراديوية</w:t>
      </w:r>
      <w:r w:rsidRPr="00E60DCB">
        <w:rPr>
          <w:rtl/>
          <w:lang w:bidi="ar"/>
        </w:rPr>
        <w:t>.</w:t>
      </w:r>
    </w:p>
    <w:p w:rsidR="00501293" w:rsidRDefault="00501293" w:rsidP="00D53B1B">
      <w:pPr>
        <w:rPr>
          <w:rtl/>
          <w:lang w:bidi="ar"/>
        </w:rPr>
      </w:pPr>
      <w:r w:rsidRPr="00E60DCB">
        <w:rPr>
          <w:rtl/>
          <w:lang w:bidi="ar"/>
        </w:rPr>
        <w:t>و</w:t>
      </w:r>
      <w:r>
        <w:rPr>
          <w:rFonts w:hint="cs"/>
          <w:rtl/>
          <w:lang w:bidi="ar"/>
        </w:rPr>
        <w:t xml:space="preserve">يرد </w:t>
      </w:r>
      <w:r w:rsidRPr="00E60DCB">
        <w:rPr>
          <w:rtl/>
          <w:lang w:bidi="ar"/>
        </w:rPr>
        <w:t xml:space="preserve">وصف المنهجيات المطبقة والافتراضات التي </w:t>
      </w:r>
      <w:r>
        <w:rPr>
          <w:rFonts w:hint="cs"/>
          <w:rtl/>
          <w:lang w:bidi="ar"/>
        </w:rPr>
        <w:t>بُنيت عليها</w:t>
      </w:r>
      <w:r w:rsidRPr="00E60DCB">
        <w:rPr>
          <w:rtl/>
          <w:lang w:bidi="ar"/>
        </w:rPr>
        <w:t xml:space="preserve"> </w:t>
      </w:r>
      <w:r>
        <w:rPr>
          <w:rFonts w:hint="cs"/>
          <w:rtl/>
          <w:lang w:bidi="ar"/>
        </w:rPr>
        <w:t>ا</w:t>
      </w:r>
      <w:r w:rsidRPr="00E60DCB">
        <w:rPr>
          <w:rtl/>
          <w:lang w:bidi="ar"/>
        </w:rPr>
        <w:t>لدراسات بالتفصيل في تقرير</w:t>
      </w:r>
      <w:r>
        <w:rPr>
          <w:rFonts w:hint="cs"/>
          <w:rtl/>
          <w:lang w:bidi="ar"/>
        </w:rPr>
        <w:t xml:space="preserve"> لقطاع الاتصالات الراديوية لم يتسنَ،</w:t>
      </w:r>
      <w:r w:rsidRPr="0015042A">
        <w:rPr>
          <w:rtl/>
          <w:lang w:bidi="ar"/>
        </w:rPr>
        <w:t xml:space="preserve"> </w:t>
      </w:r>
      <w:r w:rsidRPr="00E60DCB">
        <w:rPr>
          <w:rtl/>
          <w:lang w:bidi="ar"/>
        </w:rPr>
        <w:t>لأسباب مختلفة</w:t>
      </w:r>
      <w:r>
        <w:rPr>
          <w:rFonts w:hint="cs"/>
          <w:rtl/>
          <w:lang w:bidi="ar"/>
        </w:rPr>
        <w:t xml:space="preserve">، </w:t>
      </w:r>
      <w:r w:rsidRPr="00E60DCB">
        <w:rPr>
          <w:rtl/>
          <w:lang w:bidi="ar"/>
        </w:rPr>
        <w:t>الانتهاء</w:t>
      </w:r>
      <w:r>
        <w:rPr>
          <w:rFonts w:hint="cs"/>
          <w:rtl/>
          <w:lang w:bidi="ar"/>
        </w:rPr>
        <w:t xml:space="preserve"> منه</w:t>
      </w:r>
      <w:r>
        <w:rPr>
          <w:rtl/>
          <w:lang w:bidi="ar"/>
        </w:rPr>
        <w:t xml:space="preserve"> والموافقة عليه</w:t>
      </w:r>
      <w:r w:rsidRPr="0015042A">
        <w:rPr>
          <w:rtl/>
          <w:lang w:bidi="ar"/>
        </w:rPr>
        <w:t xml:space="preserve"> </w:t>
      </w:r>
      <w:r w:rsidRPr="00E60DCB">
        <w:rPr>
          <w:rtl/>
          <w:lang w:bidi="ar"/>
        </w:rPr>
        <w:t>في الاجتماع الأخير</w:t>
      </w:r>
      <w:r>
        <w:rPr>
          <w:rFonts w:hint="cs"/>
          <w:rtl/>
          <w:lang w:bidi="ar"/>
        </w:rPr>
        <w:t xml:space="preserve"> لفرقة العمل</w:t>
      </w:r>
      <w:r w:rsidR="00D53B1B">
        <w:rPr>
          <w:rFonts w:hint="eastAsia"/>
          <w:rtl/>
          <w:lang w:bidi="ar"/>
        </w:rPr>
        <w:t> </w:t>
      </w:r>
      <w:r w:rsidRPr="00E60DCB">
        <w:t>5B</w:t>
      </w:r>
      <w:r>
        <w:rPr>
          <w:rFonts w:hint="cs"/>
          <w:rtl/>
        </w:rPr>
        <w:t xml:space="preserve"> </w:t>
      </w:r>
      <w:r w:rsidRPr="00E60DCB">
        <w:rPr>
          <w:rtl/>
          <w:lang w:bidi="ar"/>
        </w:rPr>
        <w:t>في بوخارست.</w:t>
      </w:r>
      <w:r w:rsidRPr="0015042A">
        <w:rPr>
          <w:rFonts w:hint="cs"/>
          <w:rtl/>
          <w:lang w:bidi="ar"/>
        </w:rPr>
        <w:t xml:space="preserve"> </w:t>
      </w:r>
      <w:r>
        <w:rPr>
          <w:rFonts w:hint="cs"/>
          <w:rtl/>
          <w:lang w:bidi="ar"/>
        </w:rPr>
        <w:t>بيد أن</w:t>
      </w:r>
      <w:r w:rsidRPr="00E60DCB">
        <w:rPr>
          <w:rtl/>
          <w:lang w:bidi="ar"/>
        </w:rPr>
        <w:t xml:space="preserve"> بعض الإدارات، بما</w:t>
      </w:r>
      <w:r w:rsidR="00D53B1B">
        <w:rPr>
          <w:rFonts w:hint="cs"/>
          <w:rtl/>
          <w:lang w:bidi="ar"/>
        </w:rPr>
        <w:t> </w:t>
      </w:r>
      <w:r w:rsidRPr="00E60DCB">
        <w:rPr>
          <w:rtl/>
          <w:lang w:bidi="ar"/>
        </w:rPr>
        <w:t>في</w:t>
      </w:r>
      <w:r>
        <w:rPr>
          <w:rFonts w:hint="cs"/>
          <w:rtl/>
          <w:lang w:bidi="ar"/>
        </w:rPr>
        <w:t>ها</w:t>
      </w:r>
      <w:r w:rsidRPr="00E60DCB">
        <w:rPr>
          <w:rtl/>
          <w:lang w:bidi="ar"/>
        </w:rPr>
        <w:t xml:space="preserve"> </w:t>
      </w:r>
      <w:r>
        <w:rPr>
          <w:rFonts w:hint="cs"/>
          <w:rtl/>
          <w:lang w:bidi="ar"/>
        </w:rPr>
        <w:t>ال</w:t>
      </w:r>
      <w:r w:rsidRPr="00E60DCB">
        <w:rPr>
          <w:rtl/>
          <w:lang w:bidi="ar"/>
        </w:rPr>
        <w:t>إدارة</w:t>
      </w:r>
      <w:r>
        <w:rPr>
          <w:rFonts w:hint="cs"/>
          <w:rtl/>
          <w:lang w:bidi="ar"/>
        </w:rPr>
        <w:t xml:space="preserve"> المقدمة لهذه المساهمة بذلت جهوداً لإنجاز تقرير مشروع وثيقة العمل الجديدة</w:t>
      </w:r>
      <w:r w:rsidR="00D53B1B">
        <w:rPr>
          <w:rFonts w:hint="eastAsia"/>
          <w:rtl/>
          <w:lang w:bidi="ar"/>
        </w:rPr>
        <w:t> </w:t>
      </w:r>
      <w:r w:rsidR="00D53B1B">
        <w:rPr>
          <w:lang w:bidi="ar"/>
        </w:rPr>
        <w:t>(</w:t>
      </w:r>
      <w:r w:rsidRPr="00E60DCB">
        <w:rPr>
          <w:lang w:val="en-GB"/>
        </w:rPr>
        <w:t>WD</w:t>
      </w:r>
      <w:r w:rsidR="00D53B1B">
        <w:rPr>
          <w:lang w:val="en-GB"/>
        </w:rPr>
        <w:t> </w:t>
      </w:r>
      <w:r w:rsidRPr="00E60DCB">
        <w:rPr>
          <w:lang w:val="en-GB"/>
        </w:rPr>
        <w:t>DN</w:t>
      </w:r>
      <w:r w:rsidR="00D53B1B">
        <w:rPr>
          <w:lang w:bidi="ar"/>
        </w:rPr>
        <w:t>)</w:t>
      </w:r>
      <w:r>
        <w:rPr>
          <w:rFonts w:hint="cs"/>
          <w:rtl/>
          <w:lang w:bidi="ar"/>
        </w:rPr>
        <w:t xml:space="preserve"> للتقرير</w:t>
      </w:r>
      <w:r w:rsidR="00D53B1B">
        <w:rPr>
          <w:rFonts w:hint="eastAsia"/>
          <w:rtl/>
          <w:lang w:bidi="ar"/>
        </w:rPr>
        <w:t> </w:t>
      </w:r>
      <w:r w:rsidRPr="00E60DCB">
        <w:rPr>
          <w:lang w:val="en-GB"/>
        </w:rPr>
        <w:t>ITU</w:t>
      </w:r>
      <w:r w:rsidR="00D53B1B">
        <w:rPr>
          <w:lang w:val="en-GB"/>
        </w:rPr>
        <w:noBreakHyphen/>
      </w:r>
      <w:r w:rsidRPr="00E60DCB">
        <w:rPr>
          <w:lang w:val="en-GB"/>
        </w:rPr>
        <w:t>R</w:t>
      </w:r>
      <w:r w:rsidR="00D53B1B">
        <w:rPr>
          <w:lang w:val="en-GB"/>
        </w:rPr>
        <w:t> </w:t>
      </w:r>
      <w:r w:rsidRPr="00E60DCB">
        <w:rPr>
          <w:lang w:val="en-GB"/>
        </w:rPr>
        <w:t>M.[UAS-FSS]</w:t>
      </w:r>
      <w:r>
        <w:rPr>
          <w:rFonts w:hint="cs"/>
          <w:rtl/>
          <w:lang w:val="en-GB"/>
        </w:rPr>
        <w:t xml:space="preserve">، </w:t>
      </w:r>
      <w:r w:rsidRPr="00E60DCB">
        <w:rPr>
          <w:rtl/>
          <w:lang w:bidi="ar"/>
        </w:rPr>
        <w:t>مع</w:t>
      </w:r>
      <w:r>
        <w:rPr>
          <w:rFonts w:hint="cs"/>
          <w:rtl/>
          <w:lang w:bidi="ar"/>
        </w:rPr>
        <w:t xml:space="preserve"> أخذ</w:t>
      </w:r>
      <w:r w:rsidRPr="00E60DCB">
        <w:rPr>
          <w:rtl/>
          <w:lang w:bidi="ar"/>
        </w:rPr>
        <w:t xml:space="preserve"> جميع المساهمات المقدمة إلى اجتماع بوخارست </w:t>
      </w:r>
      <w:r>
        <w:rPr>
          <w:rFonts w:hint="cs"/>
          <w:rtl/>
          <w:lang w:bidi="ar"/>
        </w:rPr>
        <w:t>بعين</w:t>
      </w:r>
      <w:r>
        <w:rPr>
          <w:rtl/>
          <w:lang w:bidi="ar"/>
        </w:rPr>
        <w:t xml:space="preserve"> الاعتبار، و</w:t>
      </w:r>
      <w:r w:rsidRPr="00E60DCB">
        <w:rPr>
          <w:rtl/>
          <w:lang w:bidi="ar"/>
        </w:rPr>
        <w:t>قدم</w:t>
      </w:r>
      <w:r>
        <w:rPr>
          <w:rFonts w:hint="cs"/>
          <w:rtl/>
          <w:lang w:bidi="ar"/>
        </w:rPr>
        <w:t>ت</w:t>
      </w:r>
      <w:r w:rsidRPr="00E60DCB">
        <w:rPr>
          <w:rtl/>
          <w:lang w:bidi="ar"/>
        </w:rPr>
        <w:t xml:space="preserve"> هذا التقرير إلى الاجتماع </w:t>
      </w:r>
      <w:r>
        <w:rPr>
          <w:rFonts w:hint="cs"/>
          <w:rtl/>
          <w:lang w:bidi="ar"/>
        </w:rPr>
        <w:t>التالي</w:t>
      </w:r>
      <w:r w:rsidRPr="00501293">
        <w:rPr>
          <w:rtl/>
          <w:lang w:bidi="ar"/>
        </w:rPr>
        <w:t xml:space="preserve"> </w:t>
      </w:r>
      <w:r>
        <w:rPr>
          <w:rFonts w:hint="cs"/>
          <w:rtl/>
          <w:lang w:bidi="ar"/>
        </w:rPr>
        <w:t>ل</w:t>
      </w:r>
      <w:r w:rsidRPr="00E60DCB">
        <w:rPr>
          <w:rtl/>
          <w:lang w:bidi="ar"/>
        </w:rPr>
        <w:t>فرقة العمل</w:t>
      </w:r>
      <w:r w:rsidR="00D53B1B">
        <w:rPr>
          <w:rFonts w:hint="eastAsia"/>
          <w:rtl/>
          <w:lang w:bidi="ar"/>
        </w:rPr>
        <w:t> </w:t>
      </w:r>
      <w:r w:rsidRPr="00E60DCB">
        <w:rPr>
          <w:lang w:val="en-GB"/>
        </w:rPr>
        <w:t>5B</w:t>
      </w:r>
      <w:r>
        <w:rPr>
          <w:rFonts w:hint="cs"/>
          <w:rtl/>
          <w:lang w:val="en-GB"/>
        </w:rPr>
        <w:t xml:space="preserve"> لي</w:t>
      </w:r>
      <w:r w:rsidR="00D53B1B">
        <w:rPr>
          <w:rFonts w:hint="cs"/>
          <w:rtl/>
          <w:lang w:val="en-GB"/>
        </w:rPr>
        <w:t>ُ</w:t>
      </w:r>
      <w:r>
        <w:rPr>
          <w:rFonts w:hint="cs"/>
          <w:rtl/>
          <w:lang w:val="en-GB"/>
        </w:rPr>
        <w:t>صار إلى اعتماده وتقديمه بعدئذ إلى لجنة الدراسات</w:t>
      </w:r>
      <w:r w:rsidR="00D53B1B">
        <w:rPr>
          <w:rFonts w:hint="eastAsia"/>
          <w:rtl/>
          <w:lang w:val="en-GB"/>
        </w:rPr>
        <w:t> </w:t>
      </w:r>
      <w:r w:rsidR="00D53B1B">
        <w:rPr>
          <w:lang w:val="en-GB"/>
        </w:rPr>
        <w:t>5</w:t>
      </w:r>
      <w:r>
        <w:rPr>
          <w:rFonts w:hint="cs"/>
          <w:rtl/>
          <w:lang w:val="en-GB"/>
        </w:rPr>
        <w:t xml:space="preserve"> </w:t>
      </w:r>
      <w:r>
        <w:rPr>
          <w:rtl/>
          <w:lang w:bidi="ar"/>
        </w:rPr>
        <w:t>للموافقة عليه</w:t>
      </w:r>
      <w:r w:rsidRPr="00E60DCB">
        <w:rPr>
          <w:rtl/>
          <w:lang w:bidi="ar"/>
        </w:rPr>
        <w:t>.</w:t>
      </w:r>
      <w:r w:rsidRPr="00501293">
        <w:rPr>
          <w:rFonts w:hint="cs"/>
          <w:rtl/>
          <w:lang w:bidi="ar"/>
        </w:rPr>
        <w:t xml:space="preserve"> </w:t>
      </w:r>
      <w:r>
        <w:rPr>
          <w:rFonts w:hint="cs"/>
          <w:rtl/>
          <w:lang w:bidi="ar"/>
        </w:rPr>
        <w:t>و</w:t>
      </w:r>
      <w:r w:rsidRPr="00E60DCB">
        <w:rPr>
          <w:rtl/>
          <w:lang w:bidi="ar"/>
        </w:rPr>
        <w:t>هذا التقرير</w:t>
      </w:r>
      <w:r>
        <w:rPr>
          <w:rFonts w:hint="cs"/>
          <w:rtl/>
          <w:lang w:bidi="ar"/>
        </w:rPr>
        <w:t xml:space="preserve"> متاح في إطار الرقم المرجعي</w:t>
      </w:r>
      <w:r w:rsidR="00D53B1B">
        <w:rPr>
          <w:rFonts w:hint="eastAsia"/>
          <w:rtl/>
          <w:lang w:bidi="ar"/>
        </w:rPr>
        <w:t> </w:t>
      </w:r>
      <w:r w:rsidRPr="00E60DCB">
        <w:rPr>
          <w:lang w:val="en-GB"/>
        </w:rPr>
        <w:t>5B/886</w:t>
      </w:r>
      <w:r>
        <w:rPr>
          <w:rFonts w:hint="cs"/>
          <w:rtl/>
          <w:lang w:val="en-GB"/>
        </w:rPr>
        <w:t xml:space="preserve"> لوثائق </w:t>
      </w:r>
      <w:r>
        <w:rPr>
          <w:rFonts w:hint="cs"/>
          <w:rtl/>
          <w:lang w:bidi="ar"/>
        </w:rPr>
        <w:t>قطاع الاتصالات الراديوية.</w:t>
      </w:r>
    </w:p>
    <w:p w:rsidR="00BC5E2F" w:rsidRDefault="00BC5E2F" w:rsidP="00D53B1B">
      <w:pPr>
        <w:rPr>
          <w:rtl/>
          <w:lang w:bidi="ar"/>
        </w:rPr>
      </w:pPr>
      <w:r w:rsidRPr="00E60DCB">
        <w:rPr>
          <w:rtl/>
          <w:lang w:bidi="ar"/>
        </w:rPr>
        <w:lastRenderedPageBreak/>
        <w:t>وبناء</w:t>
      </w:r>
      <w:r w:rsidR="00D53B1B">
        <w:rPr>
          <w:rFonts w:hint="cs"/>
          <w:rtl/>
          <w:lang w:bidi="ar"/>
        </w:rPr>
        <w:t>ً</w:t>
      </w:r>
      <w:r w:rsidRPr="00E60DCB">
        <w:rPr>
          <w:rtl/>
          <w:lang w:bidi="ar"/>
        </w:rPr>
        <w:t xml:space="preserve"> على نتائج الدراسة في هذا التقرير،</w:t>
      </w:r>
      <w:r>
        <w:rPr>
          <w:rFonts w:hint="cs"/>
          <w:rtl/>
          <w:lang w:bidi="ar"/>
        </w:rPr>
        <w:t xml:space="preserve"> اشتُقت الشروط</w:t>
      </w:r>
      <w:r w:rsidRPr="00E60DCB">
        <w:rPr>
          <w:rtl/>
          <w:lang w:bidi="ar"/>
        </w:rPr>
        <w:t xml:space="preserve"> التشغيلية وأقنعة كثافة تدفق القدرة التي من شأنها </w:t>
      </w:r>
      <w:r>
        <w:rPr>
          <w:rFonts w:hint="cs"/>
          <w:rtl/>
          <w:lang w:bidi="ar"/>
        </w:rPr>
        <w:t>أن تحمي</w:t>
      </w:r>
      <w:r w:rsidRPr="00E60DCB">
        <w:rPr>
          <w:rtl/>
          <w:lang w:bidi="ar"/>
        </w:rPr>
        <w:t xml:space="preserve"> محطات </w:t>
      </w:r>
      <w:r>
        <w:rPr>
          <w:rFonts w:hint="cs"/>
          <w:rtl/>
        </w:rPr>
        <w:t>الخدمة الثابتة</w:t>
      </w:r>
      <w:r w:rsidRPr="00E60DCB">
        <w:rPr>
          <w:rtl/>
          <w:lang w:bidi="ar"/>
        </w:rPr>
        <w:t xml:space="preserve"> العاملة في </w:t>
      </w:r>
      <w:r>
        <w:rPr>
          <w:rFonts w:hint="cs"/>
          <w:rtl/>
          <w:lang w:bidi="ar"/>
        </w:rPr>
        <w:t>المديين</w:t>
      </w:r>
      <w:r w:rsidRPr="00E60DCB">
        <w:rPr>
          <w:rtl/>
          <w:lang w:bidi="ar"/>
        </w:rPr>
        <w:t xml:space="preserve"> التردد</w:t>
      </w:r>
      <w:r>
        <w:rPr>
          <w:rFonts w:hint="cs"/>
          <w:rtl/>
          <w:lang w:bidi="ar"/>
        </w:rPr>
        <w:t xml:space="preserve">يين </w:t>
      </w:r>
      <w:r w:rsidR="00D53B1B" w:rsidRPr="00D53B1B">
        <w:rPr>
          <w:highlight w:val="yellow"/>
          <w:lang w:val="en-GB"/>
        </w:rPr>
        <w:t>GHz</w:t>
      </w:r>
      <w:r w:rsidR="00D53B1B" w:rsidRPr="00D53B1B">
        <w:rPr>
          <w:highlight w:val="yellow"/>
          <w:lang w:val="en-GB"/>
        </w:rPr>
        <w:t> </w:t>
      </w:r>
      <w:r w:rsidRPr="00D53B1B">
        <w:rPr>
          <w:highlight w:val="yellow"/>
          <w:lang w:val="en-GB"/>
        </w:rPr>
        <w:t>14/11</w:t>
      </w:r>
      <w:r w:rsidRPr="00D53B1B">
        <w:rPr>
          <w:rFonts w:hint="cs"/>
          <w:highlight w:val="yellow"/>
          <w:rtl/>
          <w:lang w:val="en-GB"/>
        </w:rPr>
        <w:t xml:space="preserve"> </w:t>
      </w:r>
      <w:r w:rsidR="00D53B1B" w:rsidRPr="00D53B1B">
        <w:rPr>
          <w:rFonts w:hint="cs"/>
          <w:highlight w:val="yellow"/>
          <w:rtl/>
          <w:lang w:val="en-GB" w:bidi="ar-EG"/>
        </w:rPr>
        <w:t>و</w:t>
      </w:r>
      <w:r w:rsidR="00D53B1B" w:rsidRPr="00D53B1B">
        <w:rPr>
          <w:highlight w:val="yellow"/>
          <w:lang w:val="en-GB"/>
        </w:rPr>
        <w:t>GHz</w:t>
      </w:r>
      <w:r w:rsidR="00D53B1B" w:rsidRPr="00D53B1B">
        <w:rPr>
          <w:highlight w:val="yellow"/>
        </w:rPr>
        <w:t> </w:t>
      </w:r>
      <w:r w:rsidR="00D53B1B" w:rsidRPr="00D53B1B">
        <w:rPr>
          <w:highlight w:val="yellow"/>
          <w:lang w:val="en-GB"/>
        </w:rPr>
        <w:t>30/20</w:t>
      </w:r>
      <w:r>
        <w:rPr>
          <w:rFonts w:hint="cs"/>
          <w:rtl/>
          <w:lang w:bidi="ar"/>
        </w:rPr>
        <w:t>وترد</w:t>
      </w:r>
      <w:r w:rsidRPr="00E60DCB">
        <w:rPr>
          <w:rtl/>
          <w:lang w:bidi="ar"/>
        </w:rPr>
        <w:t xml:space="preserve"> هذه الشروط </w:t>
      </w:r>
      <w:r>
        <w:rPr>
          <w:rFonts w:hint="cs"/>
          <w:rtl/>
          <w:lang w:bidi="ar"/>
        </w:rPr>
        <w:t>في</w:t>
      </w:r>
      <w:r w:rsidRPr="00E60DCB">
        <w:rPr>
          <w:rtl/>
          <w:lang w:bidi="ar"/>
        </w:rPr>
        <w:t xml:space="preserve"> الملحق</w:t>
      </w:r>
      <w:r w:rsidR="00D53B1B">
        <w:rPr>
          <w:rFonts w:hint="cs"/>
          <w:rtl/>
          <w:lang w:bidi="ar"/>
        </w:rPr>
        <w:t> </w:t>
      </w:r>
      <w:r w:rsidR="00D53B1B">
        <w:rPr>
          <w:lang w:bidi="ar"/>
        </w:rPr>
        <w:t>2</w:t>
      </w:r>
      <w:r w:rsidRPr="00E60DCB">
        <w:rPr>
          <w:rtl/>
          <w:lang w:bidi="ar"/>
        </w:rPr>
        <w:t xml:space="preserve"> </w:t>
      </w:r>
      <w:r>
        <w:rPr>
          <w:rFonts w:hint="cs"/>
          <w:rtl/>
          <w:lang w:bidi="ar"/>
        </w:rPr>
        <w:t>ب</w:t>
      </w:r>
      <w:r w:rsidRPr="00E60DCB">
        <w:rPr>
          <w:rtl/>
          <w:lang w:bidi="ar"/>
        </w:rPr>
        <w:t xml:space="preserve">مشروع القرار الجديد </w:t>
      </w:r>
      <w:r>
        <w:rPr>
          <w:rFonts w:hint="cs"/>
          <w:rtl/>
          <w:lang w:bidi="ar"/>
        </w:rPr>
        <w:t>على النحو</w:t>
      </w:r>
      <w:r w:rsidRPr="00E60DCB">
        <w:rPr>
          <w:rtl/>
          <w:lang w:bidi="ar"/>
        </w:rPr>
        <w:t xml:space="preserve"> </w:t>
      </w:r>
      <w:r>
        <w:rPr>
          <w:rFonts w:hint="cs"/>
          <w:rtl/>
          <w:lang w:bidi="ar"/>
        </w:rPr>
        <w:t>ال</w:t>
      </w:r>
      <w:r w:rsidRPr="00E60DCB">
        <w:rPr>
          <w:rtl/>
          <w:lang w:bidi="ar"/>
        </w:rPr>
        <w:t>موضح أدناه.</w:t>
      </w:r>
    </w:p>
    <w:p w:rsidR="00BC5E2F" w:rsidRDefault="00BC5E2F" w:rsidP="00D53B1B">
      <w:pPr>
        <w:rPr>
          <w:rtl/>
        </w:rPr>
      </w:pPr>
      <w:r w:rsidRPr="00E60DCB">
        <w:rPr>
          <w:rtl/>
          <w:lang w:bidi="ar"/>
        </w:rPr>
        <w:t>لذلك، تقترح الإدارة</w:t>
      </w:r>
      <w:r>
        <w:rPr>
          <w:rFonts w:hint="cs"/>
          <w:rtl/>
          <w:lang w:bidi="ar"/>
        </w:rPr>
        <w:t xml:space="preserve"> المقدمة لهذه المساهمة الاستعاضة عن</w:t>
      </w:r>
      <w:r w:rsidRPr="00E60DCB">
        <w:rPr>
          <w:rtl/>
          <w:lang w:bidi="ar"/>
        </w:rPr>
        <w:t xml:space="preserve"> الملحق</w:t>
      </w:r>
      <w:r w:rsidR="00D53B1B">
        <w:rPr>
          <w:rFonts w:hint="cs"/>
          <w:rtl/>
          <w:lang w:bidi="ar"/>
        </w:rPr>
        <w:t> </w:t>
      </w:r>
      <w:r w:rsidR="00D53B1B">
        <w:rPr>
          <w:lang w:bidi="ar"/>
        </w:rPr>
        <w:t>2</w:t>
      </w:r>
      <w:r w:rsidRPr="00E60DCB">
        <w:rPr>
          <w:rtl/>
          <w:lang w:bidi="ar"/>
        </w:rPr>
        <w:t xml:space="preserve"> </w:t>
      </w:r>
      <w:r>
        <w:rPr>
          <w:rFonts w:hint="cs"/>
          <w:rtl/>
          <w:lang w:bidi="ar"/>
        </w:rPr>
        <w:t>ب</w:t>
      </w:r>
      <w:r w:rsidRPr="00E60DCB">
        <w:rPr>
          <w:rtl/>
          <w:lang w:bidi="ar"/>
        </w:rPr>
        <w:t>مشروع القرار الجديد</w:t>
      </w:r>
      <w:r w:rsidR="00D53B1B">
        <w:rPr>
          <w:rFonts w:hint="eastAsia"/>
          <w:rtl/>
          <w:lang w:bidi="ar"/>
        </w:rPr>
        <w:t> </w:t>
      </w:r>
      <w:r w:rsidRPr="00E60DCB">
        <w:rPr>
          <w:lang w:val="en-GB"/>
        </w:rPr>
        <w:t>[115-A15]</w:t>
      </w:r>
      <w:r>
        <w:rPr>
          <w:rFonts w:hint="cs"/>
          <w:rtl/>
          <w:lang w:val="en-GB"/>
        </w:rPr>
        <w:t>، المقدَّم كمقترح من بلدان متعددة طي وثيقة</w:t>
      </w:r>
      <w:r w:rsidR="00D53B1B">
        <w:rPr>
          <w:rFonts w:hint="eastAsia"/>
          <w:rtl/>
          <w:lang w:val="en-GB"/>
        </w:rPr>
        <w:t> </w:t>
      </w:r>
      <w:r w:rsidR="00D53B1B">
        <w:rPr>
          <w:lang w:val="en-GB"/>
        </w:rPr>
        <w:t>115</w:t>
      </w:r>
      <w:r>
        <w:rPr>
          <w:rFonts w:hint="cs"/>
          <w:rtl/>
          <w:lang w:val="en-GB"/>
        </w:rPr>
        <w:t xml:space="preserve"> ل</w:t>
      </w:r>
      <w:r w:rsidRPr="00BC5E2F">
        <w:rPr>
          <w:rtl/>
          <w:lang w:val="en-GB"/>
        </w:rPr>
        <w:t>لمؤتمر العالمي للاتصالات الراديوية</w:t>
      </w:r>
      <w:r w:rsidR="00D53B1B">
        <w:rPr>
          <w:rFonts w:hint="cs"/>
          <w:rtl/>
          <w:lang w:val="en-GB"/>
        </w:rPr>
        <w:t> </w:t>
      </w:r>
      <w:r w:rsidR="00D53B1B">
        <w:rPr>
          <w:lang w:val="en-GB"/>
        </w:rPr>
        <w:t>(</w:t>
      </w:r>
      <w:r w:rsidRPr="00BC5E2F">
        <w:rPr>
          <w:lang w:val="en-GB"/>
        </w:rPr>
        <w:t>WRC-15</w:t>
      </w:r>
      <w:r w:rsidR="00D53B1B">
        <w:rPr>
          <w:lang w:val="en-GB"/>
        </w:rPr>
        <w:t>)</w:t>
      </w:r>
      <w:r>
        <w:rPr>
          <w:rFonts w:hint="cs"/>
          <w:rtl/>
          <w:lang w:val="en-GB"/>
        </w:rPr>
        <w:t>، بالملحق</w:t>
      </w:r>
      <w:r w:rsidR="00D53B1B">
        <w:rPr>
          <w:rFonts w:hint="eastAsia"/>
          <w:rtl/>
          <w:lang w:val="en-GB"/>
        </w:rPr>
        <w:t> </w:t>
      </w:r>
      <w:r w:rsidR="00D53B1B">
        <w:rPr>
          <w:lang w:val="en-GB"/>
        </w:rPr>
        <w:t>2</w:t>
      </w:r>
      <w:r>
        <w:rPr>
          <w:rFonts w:hint="cs"/>
          <w:rtl/>
          <w:lang w:val="en-GB"/>
        </w:rPr>
        <w:t xml:space="preserve"> </w:t>
      </w:r>
      <w:r>
        <w:rPr>
          <w:rFonts w:hint="cs"/>
          <w:rtl/>
          <w:lang w:bidi="ar"/>
        </w:rPr>
        <w:t>ب</w:t>
      </w:r>
      <w:r w:rsidRPr="00E60DCB">
        <w:rPr>
          <w:rtl/>
          <w:lang w:bidi="ar"/>
        </w:rPr>
        <w:t>مشروع القرار الجديد</w:t>
      </w:r>
      <w:r w:rsidR="00D53B1B">
        <w:rPr>
          <w:rFonts w:hint="cs"/>
          <w:rtl/>
          <w:lang w:bidi="ar"/>
        </w:rPr>
        <w:t> </w:t>
      </w:r>
      <w:r w:rsidR="00D53B1B">
        <w:rPr>
          <w:lang w:bidi="ar"/>
        </w:rPr>
        <w:t>[</w:t>
      </w:r>
      <w:r w:rsidRPr="00E60DCB">
        <w:t>D-A15</w:t>
      </w:r>
      <w:r w:rsidR="00D53B1B">
        <w:rPr>
          <w:lang w:bidi="ar"/>
        </w:rPr>
        <w:t>]</w:t>
      </w:r>
      <w:r>
        <w:rPr>
          <w:rtl/>
          <w:lang w:bidi="ar"/>
        </w:rPr>
        <w:t xml:space="preserve"> المقدم</w:t>
      </w:r>
      <w:r w:rsidR="00D53B1B">
        <w:rPr>
          <w:rFonts w:hint="cs"/>
          <w:rtl/>
          <w:lang w:bidi="ar"/>
        </w:rPr>
        <w:t> </w:t>
      </w:r>
      <w:r>
        <w:rPr>
          <w:rtl/>
          <w:lang w:bidi="ar"/>
        </w:rPr>
        <w:t>أدناه</w:t>
      </w:r>
      <w:r w:rsidRPr="00E60DCB">
        <w:rPr>
          <w:rtl/>
          <w:lang w:bidi="ar"/>
        </w:rPr>
        <w:t>.</w:t>
      </w:r>
    </w:p>
    <w:p w:rsidR="00AA2712" w:rsidRDefault="00AA2712" w:rsidP="00AA2712">
      <w:pPr>
        <w:pStyle w:val="Headingb"/>
        <w:rPr>
          <w:rtl/>
        </w:rPr>
      </w:pPr>
      <w:r>
        <w:rPr>
          <w:rFonts w:hint="cs"/>
          <w:rtl/>
        </w:rPr>
        <w:t>المقترحات</w:t>
      </w:r>
    </w:p>
    <w:p w:rsidR="003355F5" w:rsidRDefault="00AA2712">
      <w:pPr>
        <w:pStyle w:val="Proposal"/>
      </w:pPr>
      <w:r>
        <w:t>ADD</w:t>
      </w:r>
      <w:r>
        <w:tab/>
        <w:t>D/125/1</w:t>
      </w:r>
      <w:bookmarkStart w:id="1" w:name="_GoBack"/>
      <w:bookmarkEnd w:id="1"/>
    </w:p>
    <w:p w:rsidR="003355F5" w:rsidRDefault="00AA2712" w:rsidP="0070741E">
      <w:pPr>
        <w:pStyle w:val="ResNo"/>
      </w:pPr>
      <w:r>
        <w:rPr>
          <w:rtl/>
        </w:rPr>
        <w:t xml:space="preserve">مشـروع قـرار جديـد </w:t>
      </w:r>
      <w:r>
        <w:t>[D-</w:t>
      </w:r>
      <w:r w:rsidR="0070741E">
        <w:t>A15</w:t>
      </w:r>
      <w:r>
        <w:t>]</w:t>
      </w:r>
    </w:p>
    <w:p w:rsidR="003355F5" w:rsidRDefault="00AA2712" w:rsidP="0062318D">
      <w:pPr>
        <w:pStyle w:val="Restitle"/>
      </w:pPr>
      <w:r w:rsidRPr="00AA2712">
        <w:rPr>
          <w:rFonts w:hint="cs"/>
          <w:rtl/>
        </w:rPr>
        <w:t>أحكام تنظيمية متصلة بالمحطات الأرضية على متن طائرة بدون طيار</w:t>
      </w:r>
      <w:r w:rsidRPr="00AA2712">
        <w:rPr>
          <w:rtl/>
        </w:rPr>
        <w:br/>
      </w:r>
      <w:r w:rsidRPr="00AA2712">
        <w:rPr>
          <w:rFonts w:hint="cs"/>
          <w:rtl/>
        </w:rPr>
        <w:t>تعمل</w:t>
      </w:r>
      <w:r w:rsidR="00BC5E2F">
        <w:rPr>
          <w:rFonts w:hint="cs"/>
          <w:rtl/>
        </w:rPr>
        <w:t xml:space="preserve"> في مجالات جوية غير معزولة</w:t>
      </w:r>
      <w:r w:rsidRPr="00AA2712">
        <w:rPr>
          <w:rFonts w:hint="cs"/>
          <w:rtl/>
        </w:rPr>
        <w:t xml:space="preserve"> مع </w:t>
      </w:r>
      <w:r w:rsidR="00BC5E2F">
        <w:rPr>
          <w:rFonts w:hint="cs"/>
          <w:rtl/>
        </w:rPr>
        <w:t>شبكات ساتلية</w:t>
      </w:r>
      <w:r w:rsidRPr="00AA2712">
        <w:rPr>
          <w:rFonts w:hint="cs"/>
          <w:rtl/>
        </w:rPr>
        <w:t xml:space="preserve"> مستقرة بالنسبة إلى الأرض في الخدمة الثابتة الساتلية</w:t>
      </w:r>
      <w:r w:rsidR="00BC5E2F">
        <w:rPr>
          <w:rFonts w:hint="cs"/>
          <w:rtl/>
        </w:rPr>
        <w:t xml:space="preserve"> في نطاقات ترددية معينة غير خاضعة لخطة</w:t>
      </w:r>
      <w:r w:rsidRPr="00AA2712">
        <w:rPr>
          <w:rtl/>
        </w:rPr>
        <w:br/>
      </w:r>
      <w:r w:rsidR="0062318D" w:rsidRPr="00AA2712">
        <w:rPr>
          <w:rFonts w:hint="cs"/>
          <w:rtl/>
        </w:rPr>
        <w:t xml:space="preserve">اتصالات </w:t>
      </w:r>
      <w:r w:rsidR="0062318D">
        <w:rPr>
          <w:rFonts w:hint="cs"/>
          <w:rtl/>
        </w:rPr>
        <w:t>ا</w:t>
      </w:r>
      <w:r w:rsidRPr="00AA2712">
        <w:rPr>
          <w:rFonts w:hint="cs"/>
          <w:rtl/>
        </w:rPr>
        <w:t xml:space="preserve">لتحكم </w:t>
      </w:r>
      <w:r w:rsidR="00A17BCE">
        <w:rPr>
          <w:rFonts w:hint="cs"/>
          <w:rtl/>
        </w:rPr>
        <w:t>غير ذات الصلة</w:t>
      </w:r>
      <w:r w:rsidRPr="00AA2712">
        <w:rPr>
          <w:rFonts w:hint="cs"/>
          <w:rtl/>
        </w:rPr>
        <w:t xml:space="preserve"> </w:t>
      </w:r>
      <w:r w:rsidR="00A17BCE">
        <w:rPr>
          <w:rFonts w:hint="cs"/>
          <w:rtl/>
        </w:rPr>
        <w:t>ب</w:t>
      </w:r>
      <w:r w:rsidRPr="00AA2712">
        <w:rPr>
          <w:rFonts w:hint="cs"/>
          <w:rtl/>
        </w:rPr>
        <w:t xml:space="preserve">الحمولة </w:t>
      </w:r>
      <w:r w:rsidRPr="00AA2712">
        <w:rPr>
          <w:rtl/>
        </w:rPr>
        <w:br/>
      </w:r>
      <w:r w:rsidRPr="00AA2712">
        <w:rPr>
          <w:rFonts w:hint="cs"/>
          <w:rtl/>
        </w:rPr>
        <w:t>لأنظمة الطائرات بدون طيار</w:t>
      </w:r>
    </w:p>
    <w:p w:rsidR="00AA2712" w:rsidRPr="000A0290" w:rsidRDefault="00AA2712" w:rsidP="00AA2712">
      <w:pPr>
        <w:pStyle w:val="Normalaftertitle"/>
        <w:rPr>
          <w:snapToGrid w:val="0"/>
          <w:rtl/>
        </w:rPr>
      </w:pPr>
      <w:r w:rsidRPr="000A0290">
        <w:rPr>
          <w:rFonts w:hint="cs"/>
          <w:snapToGrid w:val="0"/>
          <w:rtl/>
        </w:rPr>
        <w:t xml:space="preserve">إن المؤتمر العالمي للاتصالات الراديوية (جنيف، </w:t>
      </w:r>
      <w:r w:rsidRPr="000A0290">
        <w:rPr>
          <w:snapToGrid w:val="0"/>
        </w:rPr>
        <w:t>2015</w:t>
      </w:r>
      <w:r w:rsidRPr="000A0290">
        <w:rPr>
          <w:rFonts w:hint="cs"/>
          <w:snapToGrid w:val="0"/>
          <w:rtl/>
        </w:rPr>
        <w:t>)،</w:t>
      </w:r>
    </w:p>
    <w:p w:rsidR="00AA2712" w:rsidRDefault="00AA2712" w:rsidP="00AA2712">
      <w:pPr>
        <w:rPr>
          <w:rtl/>
          <w:lang w:bidi="ar-EG"/>
        </w:rPr>
      </w:pPr>
      <w:r>
        <w:rPr>
          <w:rFonts w:hint="cs"/>
          <w:rtl/>
          <w:lang w:bidi="ar-EG"/>
        </w:rPr>
        <w:t>...</w:t>
      </w:r>
    </w:p>
    <w:p w:rsidR="00AA2712" w:rsidRPr="000A0290" w:rsidRDefault="00AA2712" w:rsidP="00AA2712">
      <w:pPr>
        <w:pStyle w:val="AnnexNo0"/>
        <w:spacing w:before="840"/>
        <w:rPr>
          <w:rtl/>
        </w:rPr>
      </w:pPr>
      <w:r w:rsidRPr="000A0290">
        <w:rPr>
          <w:rFonts w:hint="eastAsia"/>
          <w:rtl/>
        </w:rPr>
        <w:t>الملحق</w:t>
      </w:r>
      <w:r w:rsidRPr="000A0290">
        <w:rPr>
          <w:rtl/>
        </w:rPr>
        <w:t xml:space="preserve"> </w:t>
      </w:r>
      <w:r w:rsidRPr="000A0290">
        <w:t>2</w:t>
      </w:r>
      <w:r w:rsidRPr="000A0290">
        <w:rPr>
          <w:rtl/>
        </w:rPr>
        <w:t xml:space="preserve"> بالقرار </w:t>
      </w:r>
      <w:r w:rsidRPr="000A0290">
        <w:t>(WRC-15)</w:t>
      </w:r>
      <w:r>
        <w:rPr>
          <w:rFonts w:hint="cs"/>
          <w:rtl/>
        </w:rPr>
        <w:t xml:space="preserve"> </w:t>
      </w:r>
      <w:r w:rsidRPr="000A0290">
        <w:t>[FSS-UA-CNPC]</w:t>
      </w:r>
    </w:p>
    <w:p w:rsidR="00AA2712" w:rsidRPr="00910BC1" w:rsidRDefault="00AA2712" w:rsidP="00AA2712">
      <w:pPr>
        <w:pStyle w:val="Annextitle0"/>
        <w:rPr>
          <w:rtl/>
        </w:rPr>
      </w:pPr>
      <w:r w:rsidRPr="00910BC1">
        <w:rPr>
          <w:rFonts w:hint="eastAsia"/>
          <w:rtl/>
        </w:rPr>
        <w:t>حماية</w:t>
      </w:r>
      <w:r w:rsidRPr="00910BC1">
        <w:rPr>
          <w:rtl/>
        </w:rPr>
        <w:t xml:space="preserve"> الخدمة الثابتة </w:t>
      </w:r>
      <w:r w:rsidRPr="00910BC1">
        <w:rPr>
          <w:rFonts w:hint="cs"/>
          <w:rtl/>
        </w:rPr>
        <w:t xml:space="preserve">وشبكات الخدمة الثابتة الساتلية الأخرى </w:t>
      </w:r>
      <w:r w:rsidRPr="00910BC1">
        <w:rPr>
          <w:rtl/>
        </w:rPr>
        <w:t xml:space="preserve">من إرسالات </w:t>
      </w:r>
      <w:r w:rsidRPr="00910BC1">
        <w:t>UA CNPC</w:t>
      </w:r>
    </w:p>
    <w:p w:rsidR="00AA2712" w:rsidRPr="000A0290" w:rsidRDefault="00AA2712" w:rsidP="00AA2712">
      <w:pPr>
        <w:pStyle w:val="Heading1"/>
        <w:tabs>
          <w:tab w:val="left" w:pos="848"/>
        </w:tabs>
        <w:rPr>
          <w:rtl/>
        </w:rPr>
      </w:pPr>
      <w:bookmarkStart w:id="2" w:name="_Toc416439059"/>
      <w:r w:rsidRPr="000A0290">
        <w:t>1</w:t>
      </w:r>
      <w:r w:rsidRPr="000A0290">
        <w:rPr>
          <w:rtl/>
        </w:rPr>
        <w:tab/>
        <w:t>مقدمة</w:t>
      </w:r>
      <w:bookmarkEnd w:id="2"/>
    </w:p>
    <w:p w:rsidR="0070741E" w:rsidRPr="00D24644" w:rsidRDefault="0070741E" w:rsidP="0070741E">
      <w:pPr>
        <w:rPr>
          <w:rtl/>
          <w:lang w:bidi="ar-EG"/>
        </w:rPr>
      </w:pPr>
      <w:r>
        <w:rPr>
          <w:rFonts w:hint="cs"/>
          <w:rtl/>
        </w:rPr>
        <w:t xml:space="preserve">نظراً إلى الافتراض الأساسي الذي يفيد أنه بغية استعمال نطاقات التردد الموزعة للخدمة الثابتة الساتلية، يجب أن تعمل الوصلة </w:t>
      </w:r>
      <w:r w:rsidRPr="002A7597">
        <w:rPr>
          <w:lang w:val="fr-CH"/>
        </w:rPr>
        <w:t>CNPC</w:t>
      </w:r>
      <w:r>
        <w:rPr>
          <w:rFonts w:hint="cs"/>
          <w:rtl/>
        </w:rPr>
        <w:t xml:space="preserve"> </w:t>
      </w:r>
      <w:r>
        <w:t>UAS</w:t>
      </w:r>
      <w:r>
        <w:rPr>
          <w:rFonts w:hint="cs"/>
          <w:rtl/>
        </w:rPr>
        <w:t xml:space="preserve"> داخل نفس الحدود التنظيمية والحدود المتعلقة بالأداء التي تعمل وفقاً لها أي محطة أرضية أخرى للخدمة الثابتة الساتلية، وأنه من منظور التداخل، يجب أن تؤدي وظيفتها بنفس الطريقة بالضبط كأي محطة أرضية أخرى للخدمة الثابتة الساتلية، ليس هناك سوى عدد محدود من المتطلبات الإضافية، بالإضافة إلى تلك المطبقة على محطة أرضية نموذجية للخدمة الثابتة الساتلية، التي يتعين فرضها على تشغيل الوصلات </w:t>
      </w:r>
      <w:r w:rsidRPr="00B9451F">
        <w:t>UAS CNPC</w:t>
      </w:r>
      <w:r>
        <w:rPr>
          <w:rFonts w:hint="cs"/>
          <w:rtl/>
        </w:rPr>
        <w:t xml:space="preserve"> لضمان التوافق مع الخدمات الأخرى التي تتقاسم نطاقات التردد ذاتها. وترد هذه المتطلبات الإضافية في الفقرات </w:t>
      </w:r>
      <w: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من هذا الملحق.</w:t>
      </w:r>
    </w:p>
    <w:p w:rsidR="0070741E" w:rsidRDefault="00D53B1B" w:rsidP="0070741E">
      <w:pPr>
        <w:pStyle w:val="Heading1"/>
        <w:tabs>
          <w:tab w:val="left" w:pos="848"/>
        </w:tabs>
      </w:pPr>
      <w:r>
        <w:lastRenderedPageBreak/>
        <w:t>2</w:t>
      </w:r>
      <w:r w:rsidR="0070741E">
        <w:tab/>
      </w:r>
      <w:r w:rsidR="0070741E">
        <w:rPr>
          <w:rFonts w:hint="cs"/>
          <w:rtl/>
        </w:rPr>
        <w:t>حماية الخدمة الثابتة</w:t>
      </w:r>
    </w:p>
    <w:p w:rsidR="0070741E" w:rsidRDefault="0062318D" w:rsidP="0062318D">
      <w:pPr>
        <w:rPr>
          <w:rtl/>
          <w:lang w:bidi="ar-EG"/>
        </w:rPr>
      </w:pPr>
      <w:r>
        <w:rPr>
          <w:rFonts w:hint="cs"/>
          <w:rtl/>
          <w:lang w:bidi="ar-EG"/>
        </w:rPr>
        <w:t>تحظى</w:t>
      </w:r>
      <w:r>
        <w:rPr>
          <w:rtl/>
          <w:lang w:bidi="ar-EG"/>
        </w:rPr>
        <w:t xml:space="preserve"> </w:t>
      </w:r>
      <w:r>
        <w:rPr>
          <w:rFonts w:hint="cs"/>
          <w:rtl/>
          <w:lang w:bidi="ar-EG"/>
        </w:rPr>
        <w:t>ا</w:t>
      </w:r>
      <w:r w:rsidR="0070741E" w:rsidRPr="009875A6">
        <w:rPr>
          <w:rtl/>
          <w:lang w:bidi="ar-EG"/>
        </w:rPr>
        <w:t>لخدمة الثابتة، بموجب</w:t>
      </w:r>
      <w:r>
        <w:rPr>
          <w:rFonts w:hint="cs"/>
          <w:rtl/>
          <w:lang w:bidi="ar-EG"/>
        </w:rPr>
        <w:t xml:space="preserve"> قيود مجدولة</w:t>
      </w:r>
      <w:r w:rsidR="0070741E" w:rsidRPr="009875A6">
        <w:rPr>
          <w:rtl/>
          <w:lang w:bidi="ar-EG"/>
        </w:rPr>
        <w:t xml:space="preserve"> </w:t>
      </w:r>
      <w:r>
        <w:rPr>
          <w:rFonts w:hint="cs"/>
          <w:rtl/>
          <w:lang w:bidi="ar-EG"/>
        </w:rPr>
        <w:t>و</w:t>
      </w:r>
      <w:r w:rsidR="0070741E" w:rsidRPr="009875A6">
        <w:rPr>
          <w:rtl/>
          <w:lang w:bidi="ar-EG"/>
        </w:rPr>
        <w:t>حواشٍ، في عدة بلدان،</w:t>
      </w:r>
      <w:r>
        <w:rPr>
          <w:rFonts w:hint="cs"/>
          <w:rtl/>
          <w:lang w:bidi="ar-EG"/>
        </w:rPr>
        <w:t xml:space="preserve"> بتوزيعات</w:t>
      </w:r>
      <w:r w:rsidR="0070741E" w:rsidRPr="009875A6">
        <w:rPr>
          <w:rtl/>
          <w:lang w:bidi="ar-EG"/>
        </w:rPr>
        <w:t xml:space="preserve"> على أساس أولي </w:t>
      </w:r>
      <w:r>
        <w:rPr>
          <w:rFonts w:hint="cs"/>
          <w:rtl/>
          <w:lang w:bidi="ar-EG"/>
        </w:rPr>
        <w:t>مشترك</w:t>
      </w:r>
      <w:r w:rsidR="0070741E" w:rsidRPr="009875A6">
        <w:rPr>
          <w:rtl/>
          <w:lang w:bidi="ar-EG"/>
        </w:rPr>
        <w:t xml:space="preserve"> مع الخدم</w:t>
      </w:r>
      <w:r w:rsidR="0070741E" w:rsidRPr="009875A6">
        <w:rPr>
          <w:rFonts w:hint="cs"/>
          <w:rtl/>
          <w:lang w:bidi="ar-EG"/>
        </w:rPr>
        <w:t>ة</w:t>
      </w:r>
      <w:r w:rsidR="0070741E" w:rsidRPr="009875A6">
        <w:rPr>
          <w:rtl/>
          <w:lang w:bidi="ar-EG"/>
        </w:rPr>
        <w:t xml:space="preserve"> الثابتة الساتلية. وتكون شروط استخدام الطائرات بدون طيار للاتصالات </w:t>
      </w:r>
      <w:r w:rsidR="0070741E" w:rsidRPr="009875A6">
        <w:t>CNPC</w:t>
      </w:r>
      <w:r w:rsidR="0070741E" w:rsidRPr="009875A6">
        <w:rPr>
          <w:rtl/>
        </w:rPr>
        <w:t xml:space="preserve"> بما يضمن حماية الخدمة الثابتة من التداخل الضار على</w:t>
      </w:r>
      <w:r w:rsidR="0070741E">
        <w:rPr>
          <w:rFonts w:hint="cs"/>
          <w:rtl/>
        </w:rPr>
        <w:t> </w:t>
      </w:r>
      <w:r w:rsidR="0070741E" w:rsidRPr="009875A6">
        <w:rPr>
          <w:rtl/>
        </w:rPr>
        <w:t>النحو المحدد أدناه.</w:t>
      </w:r>
    </w:p>
    <w:p w:rsidR="0070741E" w:rsidRPr="009875A6" w:rsidRDefault="0070741E" w:rsidP="0070741E">
      <w:pPr>
        <w:pStyle w:val="enumlev1"/>
        <w:rPr>
          <w:rtl/>
          <w:lang w:bidi="ar-EG"/>
        </w:rPr>
      </w:pPr>
      <w:r>
        <w:t>1</w:t>
      </w:r>
      <w:r>
        <w:tab/>
      </w:r>
      <w:r>
        <w:rPr>
          <w:rFonts w:hint="cs"/>
          <w:rtl/>
        </w:rPr>
        <w:t xml:space="preserve">يجب ألا تُشغّل الطائرة بدون طيار عند خطوط عرض </w:t>
      </w:r>
      <w:r>
        <w:rPr>
          <w:color w:val="000000"/>
          <w:rtl/>
        </w:rPr>
        <w:t xml:space="preserve">أعلى من </w:t>
      </w:r>
      <w:r>
        <w:rPr>
          <w:color w:val="000000"/>
        </w:rPr>
        <w:t>70</w:t>
      </w:r>
      <w:r>
        <w:rPr>
          <w:color w:val="000000"/>
          <w:rtl/>
        </w:rPr>
        <w:t xml:space="preserve"> درجة</w:t>
      </w:r>
      <w:r>
        <w:rPr>
          <w:rFonts w:hint="cs"/>
          <w:rtl/>
          <w:lang w:bidi="ar-EG"/>
        </w:rPr>
        <w:t>؛</w:t>
      </w:r>
    </w:p>
    <w:p w:rsidR="0070741E" w:rsidRPr="00C973A0" w:rsidRDefault="0070741E" w:rsidP="0070741E">
      <w:pPr>
        <w:pStyle w:val="enumlev1"/>
        <w:rPr>
          <w:rtl/>
          <w:lang w:bidi="ar-EG"/>
        </w:rPr>
      </w:pPr>
      <w:r>
        <w:t>2</w:t>
      </w:r>
      <w:r>
        <w:tab/>
      </w:r>
      <w:r>
        <w:rPr>
          <w:rFonts w:hint="cs"/>
          <w:rtl/>
        </w:rPr>
        <w:t xml:space="preserve">يجب ألا تُشغّل </w:t>
      </w:r>
      <w:r>
        <w:rPr>
          <w:rFonts w:hint="cs"/>
          <w:rtl/>
          <w:lang w:bidi="ar-EG"/>
        </w:rPr>
        <w:t xml:space="preserve">الطائرة بدون طيار على ترددات في النطاق </w:t>
      </w:r>
      <w:r>
        <w:rPr>
          <w:lang w:bidi="ar-EG"/>
        </w:rPr>
        <w:t>GHz 14,5-14,00</w:t>
      </w:r>
      <w:r>
        <w:rPr>
          <w:rFonts w:hint="cs"/>
          <w:rtl/>
          <w:lang w:bidi="ar-EG"/>
        </w:rPr>
        <w:t xml:space="preserve"> في ارتفاعات دون </w:t>
      </w:r>
      <w:r>
        <w:rPr>
          <w:lang w:bidi="ar-EG"/>
        </w:rPr>
        <w:t>5 000</w:t>
      </w:r>
      <w:r>
        <w:rPr>
          <w:rFonts w:hint="cs"/>
          <w:rtl/>
          <w:lang w:bidi="ar-EG"/>
        </w:rPr>
        <w:t xml:space="preserve"> قدم؛</w:t>
      </w:r>
    </w:p>
    <w:p w:rsidR="0070741E" w:rsidRPr="00C973A0" w:rsidRDefault="0070741E" w:rsidP="0070741E">
      <w:pPr>
        <w:pStyle w:val="enumlev1"/>
        <w:rPr>
          <w:rtl/>
          <w:lang w:bidi="ar-EG"/>
        </w:rPr>
      </w:pPr>
      <w:r>
        <w:t>3</w:t>
      </w:r>
      <w:r>
        <w:rPr>
          <w:rtl/>
          <w:lang w:bidi="ar-EG"/>
        </w:rPr>
        <w:tab/>
      </w:r>
      <w:r>
        <w:rPr>
          <w:rFonts w:hint="cs"/>
          <w:rtl/>
        </w:rPr>
        <w:t xml:space="preserve">يجب ألا تُشغّل </w:t>
      </w:r>
      <w:r>
        <w:rPr>
          <w:rFonts w:hint="cs"/>
          <w:rtl/>
          <w:lang w:bidi="ar-EG"/>
        </w:rPr>
        <w:t xml:space="preserve">الطائرة بدون طيار على ترددات في النطاق </w:t>
      </w:r>
      <w:r>
        <w:rPr>
          <w:lang w:bidi="ar-EG"/>
        </w:rPr>
        <w:t>GHz 28,6-27,5</w:t>
      </w:r>
      <w:r>
        <w:rPr>
          <w:rFonts w:hint="cs"/>
          <w:rtl/>
          <w:lang w:bidi="ar-EG"/>
        </w:rPr>
        <w:t xml:space="preserve"> في ارتفاعات دون </w:t>
      </w:r>
      <w:r>
        <w:rPr>
          <w:lang w:bidi="ar-EG"/>
        </w:rPr>
        <w:t>3 000</w:t>
      </w:r>
      <w:r>
        <w:rPr>
          <w:rFonts w:hint="cs"/>
          <w:rtl/>
          <w:lang w:bidi="ar-EG"/>
        </w:rPr>
        <w:t xml:space="preserve"> قدم؛</w:t>
      </w:r>
    </w:p>
    <w:p w:rsidR="0070741E" w:rsidRDefault="0070741E" w:rsidP="0070741E">
      <w:pPr>
        <w:pStyle w:val="enumlev1"/>
      </w:pPr>
      <w:r>
        <w:t>4</w:t>
      </w:r>
      <w:r>
        <w:tab/>
      </w:r>
      <w:r>
        <w:rPr>
          <w:rFonts w:hint="cs"/>
          <w:rtl/>
        </w:rPr>
        <w:t xml:space="preserve">يجب أن تتقيد المحطة الأرضية على متن الطائرة بدون طيار بقناعَيْ كثافة تدفق القدرة </w:t>
      </w:r>
      <w:r>
        <w:t>(pfd)</w:t>
      </w:r>
      <w:r>
        <w:rPr>
          <w:rFonts w:hint="cs"/>
          <w:rtl/>
          <w:lang w:bidi="ar-EG"/>
        </w:rPr>
        <w:t xml:space="preserve"> </w:t>
      </w:r>
      <w:r>
        <w:rPr>
          <w:rFonts w:hint="cs"/>
          <w:rtl/>
        </w:rPr>
        <w:t>الخاصين بنطاقَيْ التردد الوارد وصفهما أدناه.</w:t>
      </w:r>
    </w:p>
    <w:p w:rsidR="0070741E" w:rsidRDefault="0070741E" w:rsidP="00C563F2">
      <w:pPr>
        <w:spacing w:after="120"/>
        <w:rPr>
          <w:lang w:bidi="ar-EG"/>
        </w:rPr>
      </w:pPr>
      <w:r>
        <w:rPr>
          <w:rFonts w:hint="cs"/>
          <w:rtl/>
          <w:lang w:bidi="ar-EG"/>
        </w:rPr>
        <w:t xml:space="preserve">في </w:t>
      </w:r>
      <w:r w:rsidR="0076340E">
        <w:rPr>
          <w:rFonts w:hint="cs"/>
          <w:rtl/>
          <w:lang w:bidi="ar-EG"/>
        </w:rPr>
        <w:t>مدى</w:t>
      </w:r>
      <w:r>
        <w:rPr>
          <w:rFonts w:hint="cs"/>
          <w:rtl/>
          <w:lang w:bidi="ar-EG"/>
        </w:rPr>
        <w:t xml:space="preserve"> الترددات </w:t>
      </w:r>
      <w:r>
        <w:rPr>
          <w:lang w:bidi="ar-EG"/>
        </w:rPr>
        <w:t>GHz 14,5-14</w:t>
      </w:r>
      <w:r>
        <w:rPr>
          <w:rFonts w:hint="cs"/>
          <w:rtl/>
          <w:lang w:bidi="ar-EG"/>
        </w:rPr>
        <w:t xml:space="preserve"> كما تستخدمه شبكات الخدمة الثابتة، ضمن خط بصر أراضي إدارة ما حيث تعمل شبكات الخدمة الثابتة في</w:t>
      </w:r>
      <w:r w:rsidR="0076340E" w:rsidRPr="0076340E">
        <w:rPr>
          <w:rFonts w:hint="cs"/>
          <w:rtl/>
          <w:lang w:bidi="ar-EG"/>
        </w:rPr>
        <w:t xml:space="preserve"> </w:t>
      </w:r>
      <w:r w:rsidR="0076340E">
        <w:rPr>
          <w:rFonts w:hint="cs"/>
          <w:rtl/>
          <w:lang w:bidi="ar-EG"/>
        </w:rPr>
        <w:t>هذا</w:t>
      </w:r>
      <w:r>
        <w:rPr>
          <w:rFonts w:hint="cs"/>
          <w:rtl/>
          <w:lang w:bidi="ar-EG"/>
        </w:rPr>
        <w:t xml:space="preserve"> </w:t>
      </w:r>
      <w:r w:rsidR="0076340E">
        <w:rPr>
          <w:rFonts w:hint="cs"/>
          <w:rtl/>
          <w:lang w:bidi="ar-EG"/>
        </w:rPr>
        <w:t>النطاق</w:t>
      </w:r>
      <w:r>
        <w:rPr>
          <w:rFonts w:hint="cs"/>
          <w:rtl/>
          <w:lang w:bidi="ar-EG"/>
        </w:rPr>
        <w:t>، يجب ألا تتجاوز أقصى كثافة لتدفق القدرة على سطح الأرض لإرسالات محطة أرضية واحدة محمولة في طائرة، من شبكة الخدمة المتنقلة الساتلية للطيران</w:t>
      </w:r>
    </w:p>
    <w:tbl>
      <w:tblPr>
        <w:bidiVisual/>
        <w:tblW w:w="0" w:type="auto"/>
        <w:tblInd w:w="198" w:type="dxa"/>
        <w:tblLook w:val="04A0" w:firstRow="1" w:lastRow="0" w:firstColumn="1" w:lastColumn="0" w:noHBand="0" w:noVBand="1"/>
      </w:tblPr>
      <w:tblGrid>
        <w:gridCol w:w="5400"/>
        <w:gridCol w:w="3600"/>
      </w:tblGrid>
      <w:tr w:rsidR="0070741E" w:rsidRPr="00DF4132" w:rsidTr="00AD0FE8">
        <w:tc>
          <w:tcPr>
            <w:tcW w:w="5400" w:type="dxa"/>
            <w:shd w:val="clear" w:color="auto" w:fill="auto"/>
          </w:tcPr>
          <w:p w:rsidR="0070741E" w:rsidRPr="00DF4132" w:rsidRDefault="0070741E" w:rsidP="00C563F2">
            <w:pPr>
              <w:tabs>
                <w:tab w:val="clear" w:pos="1134"/>
                <w:tab w:val="left" w:pos="828"/>
                <w:tab w:val="center" w:pos="1440"/>
                <w:tab w:val="right" w:pos="5112"/>
              </w:tabs>
              <w:spacing w:before="40" w:after="40" w:line="300" w:lineRule="exact"/>
              <w:rPr>
                <w:rFonts w:ascii="Symbol" w:eastAsia="Calibri" w:hAnsi="Symbol" w:cs="Symbol"/>
                <w:szCs w:val="24"/>
              </w:rPr>
            </w:pPr>
            <w:r w:rsidRPr="00B9451F">
              <w:rPr>
                <w:szCs w:val="24"/>
              </w:rPr>
              <w:tab/>
            </w:r>
            <w:r w:rsidRPr="00DF4132">
              <w:rPr>
                <w:szCs w:val="24"/>
              </w:rPr>
              <w:t xml:space="preserve">97– </w:t>
            </w:r>
            <w:r w:rsidRPr="00DF4132">
              <w:rPr>
                <w:szCs w:val="24"/>
              </w:rPr>
              <w:tab/>
              <w:t>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p>
        </w:tc>
        <w:tc>
          <w:tcPr>
            <w:tcW w:w="3600" w:type="dxa"/>
            <w:shd w:val="clear" w:color="auto" w:fill="auto"/>
          </w:tcPr>
          <w:p w:rsidR="0070741E" w:rsidRPr="00DF4132" w:rsidRDefault="0070741E" w:rsidP="00C563F2">
            <w:pPr>
              <w:tabs>
                <w:tab w:val="center" w:pos="1962"/>
              </w:tabs>
              <w:spacing w:before="40" w:after="40" w:line="300" w:lineRule="exact"/>
              <w:ind w:left="248"/>
              <w:rPr>
                <w:rFonts w:ascii="Symbol" w:eastAsia="Calibri" w:hAnsi="Symbol" w:cs="Symbol"/>
              </w:rPr>
            </w:pPr>
            <w:r w:rsidRPr="00DF4132">
              <w:rPr>
                <w:rFonts w:hint="cs"/>
                <w:rtl/>
              </w:rPr>
              <w:t>من أجل</w:t>
            </w:r>
            <w:r w:rsidRPr="00DF4132">
              <w:tab/>
            </w:r>
            <w:r w:rsidRPr="00DF4132">
              <w:sym w:font="Symbol" w:char="F071"/>
            </w:r>
            <w:r w:rsidRPr="00DF4132">
              <w:t xml:space="preserve">    ≤   5°</w:t>
            </w:r>
          </w:p>
        </w:tc>
      </w:tr>
      <w:tr w:rsidR="0070741E" w:rsidRPr="00DF4132" w:rsidTr="00AD0FE8">
        <w:tc>
          <w:tcPr>
            <w:tcW w:w="5400" w:type="dxa"/>
            <w:shd w:val="clear" w:color="auto" w:fill="auto"/>
          </w:tcPr>
          <w:p w:rsidR="0070741E" w:rsidRPr="00DF4132" w:rsidRDefault="0070741E" w:rsidP="00C563F2">
            <w:pPr>
              <w:tabs>
                <w:tab w:val="clear" w:pos="1134"/>
                <w:tab w:val="left" w:pos="828"/>
                <w:tab w:val="center" w:pos="1440"/>
                <w:tab w:val="right" w:pos="5112"/>
              </w:tabs>
              <w:spacing w:before="40" w:after="40" w:line="300" w:lineRule="exact"/>
              <w:rPr>
                <w:rFonts w:ascii="Symbol" w:eastAsia="Calibri" w:hAnsi="Symbol" w:cs="Symbol"/>
                <w:szCs w:val="24"/>
              </w:rPr>
            </w:pPr>
            <w:r w:rsidRPr="00DF4132">
              <w:rPr>
                <w:szCs w:val="24"/>
              </w:rPr>
              <w:tab/>
              <w:t xml:space="preserve">–97 + 2,1 </w:t>
            </w:r>
            <w:r w:rsidRPr="00DF4132">
              <w:rPr>
                <w:szCs w:val="24"/>
              </w:rPr>
              <w:sym w:font="Symbol" w:char="F0D7"/>
            </w:r>
            <w:r w:rsidRPr="00DF4132">
              <w:rPr>
                <w:szCs w:val="24"/>
              </w:rPr>
              <w:t xml:space="preserve"> (</w:t>
            </w:r>
            <w:r w:rsidRPr="00DF4132">
              <w:rPr>
                <w:szCs w:val="24"/>
              </w:rPr>
              <w:sym w:font="Symbol" w:char="F071"/>
            </w:r>
            <w:r w:rsidRPr="00DF4132">
              <w:rPr>
                <w:szCs w:val="24"/>
              </w:rPr>
              <w:t xml:space="preserve"> - 5°)</w:t>
            </w:r>
            <w:r w:rsidRPr="00DF4132">
              <w:rPr>
                <w:szCs w:val="24"/>
                <w:vertAlign w:val="superscript"/>
              </w:rPr>
              <w:t>2</w:t>
            </w:r>
            <w:r w:rsidRPr="00DF4132">
              <w:rPr>
                <w:szCs w:val="24"/>
              </w:rPr>
              <w:t xml:space="preserve">  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p>
        </w:tc>
        <w:tc>
          <w:tcPr>
            <w:tcW w:w="3600" w:type="dxa"/>
            <w:shd w:val="clear" w:color="auto" w:fill="auto"/>
          </w:tcPr>
          <w:p w:rsidR="0070741E" w:rsidRPr="00DF4132" w:rsidRDefault="0070741E" w:rsidP="00C563F2">
            <w:pPr>
              <w:tabs>
                <w:tab w:val="center" w:pos="1962"/>
              </w:tabs>
              <w:spacing w:before="40" w:after="40" w:line="300" w:lineRule="exact"/>
              <w:ind w:left="248"/>
              <w:rPr>
                <w:rFonts w:ascii="Symbol" w:eastAsia="Calibri" w:hAnsi="Symbol" w:cs="Symbol"/>
              </w:rPr>
            </w:pPr>
            <w:r w:rsidRPr="00DF4132">
              <w:rPr>
                <w:rFonts w:hint="cs"/>
                <w:rtl/>
              </w:rPr>
              <w:t>من أجل</w:t>
            </w:r>
            <w:r w:rsidRPr="00DF4132">
              <w:tab/>
              <w:t xml:space="preserve">5°    &lt;   </w:t>
            </w:r>
            <w:r w:rsidRPr="00DF4132">
              <w:sym w:font="Symbol" w:char="F071"/>
            </w:r>
            <w:r w:rsidRPr="00DF4132">
              <w:t xml:space="preserve">   ≤   7,5°</w:t>
            </w:r>
          </w:p>
        </w:tc>
      </w:tr>
      <w:tr w:rsidR="0070741E" w:rsidRPr="00DF4132" w:rsidTr="00AD0FE8">
        <w:tc>
          <w:tcPr>
            <w:tcW w:w="5400" w:type="dxa"/>
            <w:shd w:val="clear" w:color="auto" w:fill="auto"/>
          </w:tcPr>
          <w:p w:rsidR="0070741E" w:rsidRPr="00DF4132" w:rsidRDefault="0070741E" w:rsidP="00C563F2">
            <w:pPr>
              <w:tabs>
                <w:tab w:val="clear" w:pos="1134"/>
                <w:tab w:val="left" w:pos="828"/>
                <w:tab w:val="center" w:pos="1440"/>
                <w:tab w:val="right" w:pos="5112"/>
              </w:tabs>
              <w:spacing w:before="40" w:after="40" w:line="300" w:lineRule="exact"/>
              <w:rPr>
                <w:rFonts w:ascii="Symbol" w:eastAsia="Calibri" w:hAnsi="Symbol" w:cs="Symbol"/>
                <w:szCs w:val="24"/>
                <w:lang w:val="de-CH"/>
              </w:rPr>
            </w:pPr>
            <w:r w:rsidRPr="00DF4132">
              <w:rPr>
                <w:szCs w:val="24"/>
                <w:lang w:val="de-CH"/>
              </w:rPr>
              <w:tab/>
              <w:t>–9</w:t>
            </w:r>
            <w:r w:rsidRPr="00DF4132">
              <w:rPr>
                <w:szCs w:val="24"/>
              </w:rPr>
              <w:t>1,7</w:t>
            </w:r>
            <w:r w:rsidRPr="00DF4132">
              <w:rPr>
                <w:szCs w:val="24"/>
                <w:lang w:val="de-CH"/>
              </w:rPr>
              <w:t xml:space="preserve"> - 25 </w:t>
            </w:r>
            <w:r w:rsidRPr="00DF4132">
              <w:rPr>
                <w:szCs w:val="24"/>
              </w:rPr>
              <w:sym w:font="Symbol" w:char="F0D7"/>
            </w:r>
            <w:r w:rsidRPr="00DF4132">
              <w:rPr>
                <w:szCs w:val="24"/>
                <w:lang w:val="de-CH"/>
              </w:rPr>
              <w:t xml:space="preserve"> log</w:t>
            </w:r>
            <w:r w:rsidRPr="00DF4132">
              <w:rPr>
                <w:szCs w:val="24"/>
                <w:vertAlign w:val="subscript"/>
                <w:lang w:val="de-CH"/>
              </w:rPr>
              <w:t>10</w:t>
            </w:r>
            <w:r w:rsidRPr="00DF4132">
              <w:rPr>
                <w:szCs w:val="24"/>
                <w:lang w:val="de-CH"/>
              </w:rPr>
              <w:t xml:space="preserve"> (</w:t>
            </w:r>
            <w:r w:rsidRPr="00DF4132">
              <w:rPr>
                <w:szCs w:val="24"/>
              </w:rPr>
              <w:sym w:font="Symbol" w:char="F071"/>
            </w:r>
            <w:r w:rsidRPr="00DF4132">
              <w:rPr>
                <w:szCs w:val="24"/>
                <w:lang w:val="de-CH"/>
              </w:rPr>
              <w:t>) dB(W/(m</w:t>
            </w:r>
            <w:r w:rsidRPr="00DF4132">
              <w:rPr>
                <w:szCs w:val="24"/>
                <w:vertAlign w:val="superscript"/>
                <w:lang w:val="de-CH"/>
              </w:rPr>
              <w:t xml:space="preserve">2 </w:t>
            </w:r>
            <w:r w:rsidRPr="00DF4132">
              <w:rPr>
                <w:szCs w:val="24"/>
                <w:lang w:val="de-CH"/>
              </w:rPr>
              <w:t xml:space="preserve"> </w:t>
            </w:r>
            <w:r w:rsidRPr="00DF4132">
              <w:rPr>
                <w:szCs w:val="24"/>
              </w:rPr>
              <w:sym w:font="Symbol" w:char="F0D7"/>
            </w:r>
            <w:r w:rsidRPr="00DF4132">
              <w:rPr>
                <w:szCs w:val="24"/>
                <w:lang w:val="de-CH"/>
              </w:rPr>
              <w:t xml:space="preserve"> 14 MHz))</w:t>
            </w:r>
          </w:p>
        </w:tc>
        <w:tc>
          <w:tcPr>
            <w:tcW w:w="3600" w:type="dxa"/>
            <w:shd w:val="clear" w:color="auto" w:fill="auto"/>
          </w:tcPr>
          <w:p w:rsidR="0070741E" w:rsidRPr="00DF4132" w:rsidRDefault="0070741E" w:rsidP="00C563F2">
            <w:pPr>
              <w:tabs>
                <w:tab w:val="center" w:pos="1962"/>
              </w:tabs>
              <w:spacing w:before="40" w:after="40" w:line="300" w:lineRule="exact"/>
              <w:ind w:left="248"/>
              <w:rPr>
                <w:rFonts w:ascii="Symbol" w:eastAsia="Calibri" w:hAnsi="Symbol" w:cs="Symbol"/>
              </w:rPr>
            </w:pPr>
            <w:r w:rsidRPr="00DF4132">
              <w:rPr>
                <w:rFonts w:hint="cs"/>
                <w:rtl/>
              </w:rPr>
              <w:t>من أجل</w:t>
            </w:r>
            <w:r w:rsidRPr="00DF4132">
              <w:tab/>
              <w:t xml:space="preserve">7,5°   &lt;   </w:t>
            </w:r>
            <w:r w:rsidRPr="00DF4132">
              <w:sym w:font="Symbol" w:char="F071"/>
            </w:r>
            <w:r w:rsidRPr="00DF4132">
              <w:t xml:space="preserve">   ≤   53°</w:t>
            </w:r>
          </w:p>
        </w:tc>
      </w:tr>
      <w:tr w:rsidR="0070741E" w:rsidRPr="00B9451F" w:rsidTr="00AD0FE8">
        <w:tc>
          <w:tcPr>
            <w:tcW w:w="5400" w:type="dxa"/>
            <w:shd w:val="clear" w:color="auto" w:fill="auto"/>
          </w:tcPr>
          <w:p w:rsidR="0070741E" w:rsidRPr="00DF4132" w:rsidRDefault="0070741E" w:rsidP="00C563F2">
            <w:pPr>
              <w:tabs>
                <w:tab w:val="clear" w:pos="1134"/>
                <w:tab w:val="left" w:pos="828"/>
                <w:tab w:val="center" w:pos="1440"/>
                <w:tab w:val="right" w:pos="5112"/>
              </w:tabs>
              <w:spacing w:before="40" w:after="40" w:line="300" w:lineRule="exact"/>
              <w:rPr>
                <w:rFonts w:ascii="Symbol" w:eastAsia="Calibri" w:hAnsi="Symbol" w:cs="Symbol"/>
                <w:szCs w:val="24"/>
              </w:rPr>
            </w:pPr>
            <w:r w:rsidRPr="00DF4132">
              <w:rPr>
                <w:szCs w:val="24"/>
              </w:rPr>
              <w:tab/>
              <w:t>–49,7 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p>
        </w:tc>
        <w:tc>
          <w:tcPr>
            <w:tcW w:w="3600" w:type="dxa"/>
            <w:shd w:val="clear" w:color="auto" w:fill="auto"/>
          </w:tcPr>
          <w:p w:rsidR="0070741E" w:rsidRPr="00DF4132" w:rsidRDefault="0070741E" w:rsidP="00C563F2">
            <w:pPr>
              <w:tabs>
                <w:tab w:val="center" w:pos="1962"/>
              </w:tabs>
              <w:spacing w:before="40" w:after="40" w:line="300" w:lineRule="exact"/>
              <w:ind w:left="248"/>
              <w:rPr>
                <w:rFonts w:ascii="Symbol" w:eastAsia="Calibri" w:hAnsi="Symbol" w:cs="Symbol"/>
              </w:rPr>
            </w:pPr>
            <w:r w:rsidRPr="00DF4132">
              <w:rPr>
                <w:rFonts w:hint="cs"/>
                <w:rtl/>
              </w:rPr>
              <w:t>من أجل</w:t>
            </w:r>
            <w:r w:rsidRPr="00DF4132">
              <w:tab/>
              <w:t xml:space="preserve">53°   &lt;   </w:t>
            </w:r>
            <w:r w:rsidRPr="00DF4132">
              <w:sym w:font="Symbol" w:char="F071"/>
            </w:r>
            <w:r w:rsidRPr="00DF4132">
              <w:t xml:space="preserve">   ≤   90°</w:t>
            </w:r>
          </w:p>
        </w:tc>
      </w:tr>
    </w:tbl>
    <w:p w:rsidR="0070741E" w:rsidRDefault="0070741E" w:rsidP="0070741E">
      <w:pPr>
        <w:rPr>
          <w:rtl/>
          <w:lang w:bidi="ar-EG"/>
        </w:rPr>
      </w:pPr>
      <w:r w:rsidRPr="00DF4132">
        <w:rPr>
          <w:rFonts w:hint="cs"/>
          <w:rtl/>
          <w:lang w:bidi="ar-EG"/>
        </w:rPr>
        <w:t xml:space="preserve">حيث </w:t>
      </w:r>
      <w:r w:rsidRPr="00DF4132">
        <w:sym w:font="Symbol" w:char="F071"/>
      </w:r>
      <w:r w:rsidRPr="00DF4132">
        <w:rPr>
          <w:rFonts w:hint="cs"/>
          <w:rtl/>
          <w:lang w:bidi="ar-EG"/>
        </w:rPr>
        <w:t xml:space="preserve"> زاوية وصول الموجة الراديوية (درجات فوق الأفق).</w:t>
      </w:r>
    </w:p>
    <w:p w:rsidR="0070741E" w:rsidRDefault="0070741E" w:rsidP="0070741E">
      <w:pPr>
        <w:pStyle w:val="Note"/>
        <w:rPr>
          <w:rtl/>
        </w:rPr>
      </w:pPr>
      <w:r>
        <w:rPr>
          <w:rFonts w:hint="cs"/>
          <w:rtl/>
        </w:rPr>
        <w:t>ال</w:t>
      </w:r>
      <w:r w:rsidRPr="00B554C7">
        <w:rPr>
          <w:rFonts w:hint="cs"/>
          <w:rtl/>
        </w:rPr>
        <w:t xml:space="preserve">ملاحظة </w:t>
      </w:r>
      <w:r w:rsidRPr="00B554C7">
        <w:t>1</w:t>
      </w:r>
      <w:r w:rsidRPr="00B554C7">
        <w:rPr>
          <w:rFonts w:hint="cs"/>
          <w:rtl/>
        </w:rPr>
        <w:t xml:space="preserve"> </w:t>
      </w:r>
      <w:r w:rsidRPr="00B554C7">
        <w:rPr>
          <w:rtl/>
        </w:rPr>
        <w:t>–</w:t>
      </w:r>
      <w:r>
        <w:rPr>
          <w:rFonts w:hint="cs"/>
          <w:rtl/>
        </w:rPr>
        <w:t xml:space="preserve"> </w:t>
      </w:r>
      <w:r w:rsidRPr="00C41FEA">
        <w:rPr>
          <w:rFonts w:hint="cs"/>
          <w:b w:val="0"/>
          <w:bCs w:val="0"/>
          <w:rtl/>
        </w:rPr>
        <w:t>تتعلق الحدود سالفة الذكر بكثافة تدفق القدرة وزوايا الوصول التي يمكن الحصول عليها في ظروف الانتشار في</w:t>
      </w:r>
      <w:r>
        <w:rPr>
          <w:rFonts w:hint="eastAsia"/>
          <w:b w:val="0"/>
          <w:bCs w:val="0"/>
          <w:rtl/>
        </w:rPr>
        <w:t> </w:t>
      </w:r>
      <w:r w:rsidRPr="00C41FEA">
        <w:rPr>
          <w:rFonts w:hint="cs"/>
          <w:b w:val="0"/>
          <w:bCs w:val="0"/>
          <w:rtl/>
        </w:rPr>
        <w:t>الفضاء الحر</w:t>
      </w:r>
      <w:r>
        <w:rPr>
          <w:rFonts w:hint="cs"/>
          <w:rtl/>
        </w:rPr>
        <w:t>.</w:t>
      </w:r>
    </w:p>
    <w:p w:rsidR="0070741E" w:rsidRDefault="0070741E" w:rsidP="00C563F2">
      <w:pPr>
        <w:spacing w:after="120"/>
        <w:rPr>
          <w:lang w:bidi="ar-EG"/>
        </w:rPr>
      </w:pPr>
      <w:r>
        <w:rPr>
          <w:rFonts w:hint="cs"/>
          <w:rtl/>
          <w:lang w:bidi="ar-EG"/>
        </w:rPr>
        <w:t xml:space="preserve">في نطاق الترددات </w:t>
      </w:r>
      <w:r>
        <w:rPr>
          <w:lang w:bidi="ar-EG"/>
        </w:rPr>
        <w:t>GHz 29,5-27,5</w:t>
      </w:r>
      <w:r>
        <w:rPr>
          <w:rFonts w:hint="cs"/>
          <w:rtl/>
          <w:lang w:bidi="ar-EG"/>
        </w:rPr>
        <w:t xml:space="preserve"> كما تستخدمه شبكات الخدمة الثابتة، ضمن خط بصر أراضي إدارة ما حيث تعمل شبكات الخدمة الثابتة في نطاق الترددات هذا، يجب ألا تتجاوز أقصى كثافة لتدفق القدرة على سطح الأرض لإرسالات محطة أرضية واحدة محمولة في طائرة، من شبكة الخدمة المتنقلة الساتلية للطيران</w:t>
      </w:r>
    </w:p>
    <w:tbl>
      <w:tblPr>
        <w:bidiVisual/>
        <w:tblW w:w="0" w:type="auto"/>
        <w:tblInd w:w="198" w:type="dxa"/>
        <w:tblLook w:val="04A0" w:firstRow="1" w:lastRow="0" w:firstColumn="1" w:lastColumn="0" w:noHBand="0" w:noVBand="1"/>
      </w:tblPr>
      <w:tblGrid>
        <w:gridCol w:w="5400"/>
        <w:gridCol w:w="3600"/>
      </w:tblGrid>
      <w:tr w:rsidR="0070741E" w:rsidRPr="00DF4132" w:rsidTr="00AD0FE8">
        <w:tc>
          <w:tcPr>
            <w:tcW w:w="5400" w:type="dxa"/>
            <w:shd w:val="clear" w:color="auto" w:fill="auto"/>
          </w:tcPr>
          <w:p w:rsidR="0070741E" w:rsidRPr="00DF4132" w:rsidRDefault="0070741E" w:rsidP="00C563F2">
            <w:pPr>
              <w:tabs>
                <w:tab w:val="clear" w:pos="1134"/>
                <w:tab w:val="left" w:pos="828"/>
                <w:tab w:val="center" w:pos="1440"/>
                <w:tab w:val="right" w:pos="5112"/>
              </w:tabs>
              <w:spacing w:before="40" w:after="40" w:line="300" w:lineRule="exact"/>
              <w:rPr>
                <w:rFonts w:ascii="Symbol" w:eastAsia="Calibri" w:hAnsi="Symbol" w:cs="Symbol"/>
                <w:szCs w:val="24"/>
              </w:rPr>
            </w:pPr>
            <w:r w:rsidRPr="00B9451F">
              <w:rPr>
                <w:szCs w:val="24"/>
              </w:rPr>
              <w:tab/>
            </w:r>
            <w:r w:rsidRPr="00DF4132">
              <w:rPr>
                <w:szCs w:val="24"/>
              </w:rPr>
              <w:t>9</w:t>
            </w:r>
            <w:r>
              <w:rPr>
                <w:szCs w:val="24"/>
              </w:rPr>
              <w:t>6</w:t>
            </w:r>
            <w:r w:rsidRPr="00DF4132">
              <w:rPr>
                <w:szCs w:val="24"/>
              </w:rPr>
              <w:t xml:space="preserve">– </w:t>
            </w:r>
            <w:r w:rsidRPr="00DF4132">
              <w:rPr>
                <w:szCs w:val="24"/>
              </w:rPr>
              <w:tab/>
              <w:t>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p>
        </w:tc>
        <w:tc>
          <w:tcPr>
            <w:tcW w:w="3600" w:type="dxa"/>
            <w:shd w:val="clear" w:color="auto" w:fill="auto"/>
          </w:tcPr>
          <w:p w:rsidR="0070741E" w:rsidRPr="00DF4132" w:rsidRDefault="0070741E" w:rsidP="00C563F2">
            <w:pPr>
              <w:tabs>
                <w:tab w:val="center" w:pos="1962"/>
              </w:tabs>
              <w:spacing w:before="40" w:after="40" w:line="300" w:lineRule="exact"/>
              <w:ind w:left="248"/>
              <w:rPr>
                <w:rFonts w:ascii="Symbol" w:eastAsia="Calibri" w:hAnsi="Symbol" w:cs="Symbol"/>
              </w:rPr>
            </w:pPr>
            <w:r w:rsidRPr="00DF4132">
              <w:rPr>
                <w:rFonts w:hint="cs"/>
                <w:rtl/>
              </w:rPr>
              <w:t>من أجل</w:t>
            </w:r>
            <w:r w:rsidRPr="00DF4132">
              <w:tab/>
            </w:r>
            <w:r w:rsidRPr="00DF4132">
              <w:sym w:font="Symbol" w:char="F071"/>
            </w:r>
            <w:r w:rsidRPr="00DF4132">
              <w:t xml:space="preserve">    ≤   5°</w:t>
            </w:r>
          </w:p>
        </w:tc>
      </w:tr>
      <w:tr w:rsidR="0070741E" w:rsidRPr="00DF4132" w:rsidTr="00AD0FE8">
        <w:tc>
          <w:tcPr>
            <w:tcW w:w="5400" w:type="dxa"/>
            <w:shd w:val="clear" w:color="auto" w:fill="auto"/>
          </w:tcPr>
          <w:p w:rsidR="0070741E" w:rsidRPr="00DF4132" w:rsidRDefault="0070741E" w:rsidP="00C563F2">
            <w:pPr>
              <w:tabs>
                <w:tab w:val="clear" w:pos="1134"/>
                <w:tab w:val="left" w:pos="828"/>
                <w:tab w:val="center" w:pos="1440"/>
                <w:tab w:val="right" w:pos="5112"/>
              </w:tabs>
              <w:spacing w:before="40" w:after="40" w:line="300" w:lineRule="exact"/>
              <w:rPr>
                <w:rFonts w:ascii="Symbol" w:eastAsia="Calibri" w:hAnsi="Symbol" w:cs="Symbol"/>
                <w:szCs w:val="24"/>
              </w:rPr>
            </w:pPr>
            <w:r w:rsidRPr="00DF4132">
              <w:rPr>
                <w:szCs w:val="24"/>
              </w:rPr>
              <w:tab/>
              <w:t>–dB(W/(m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r>
              <w:rPr>
                <w:szCs w:val="24"/>
              </w:rPr>
              <w:t xml:space="preserve"> </w:t>
            </w:r>
            <w:r w:rsidRPr="00DF4132">
              <w:rPr>
                <w:szCs w:val="24"/>
                <w:vertAlign w:val="superscript"/>
              </w:rPr>
              <w:t>2</w:t>
            </w:r>
            <w:r w:rsidRPr="00DF4132">
              <w:rPr>
                <w:szCs w:val="24"/>
              </w:rPr>
              <w:t xml:space="preserve"> (</w:t>
            </w:r>
            <w:r w:rsidRPr="00DF4132">
              <w:rPr>
                <w:szCs w:val="24"/>
              </w:rPr>
              <w:sym w:font="Symbol" w:char="F071"/>
            </w:r>
            <w:r w:rsidRPr="00DF4132">
              <w:rPr>
                <w:szCs w:val="24"/>
              </w:rPr>
              <w:t xml:space="preserve"> - 5°) </w:t>
            </w:r>
            <w:r>
              <w:rPr>
                <w:szCs w:val="24"/>
              </w:rPr>
              <w:t>0</w:t>
            </w:r>
            <w:r w:rsidRPr="00DF4132">
              <w:rPr>
                <w:szCs w:val="24"/>
              </w:rPr>
              <w:t>,</w:t>
            </w:r>
            <w:r>
              <w:rPr>
                <w:szCs w:val="24"/>
              </w:rPr>
              <w:t>6</w:t>
            </w:r>
            <w:r w:rsidRPr="00DF4132">
              <w:rPr>
                <w:szCs w:val="24"/>
              </w:rPr>
              <w:t xml:space="preserve"> </w:t>
            </w:r>
            <w:r>
              <w:rPr>
                <w:szCs w:val="24"/>
              </w:rPr>
              <w:t>+ 96,0–</w:t>
            </w:r>
          </w:p>
        </w:tc>
        <w:tc>
          <w:tcPr>
            <w:tcW w:w="3600" w:type="dxa"/>
            <w:shd w:val="clear" w:color="auto" w:fill="auto"/>
          </w:tcPr>
          <w:p w:rsidR="0070741E" w:rsidRPr="00DF4132" w:rsidRDefault="0070741E" w:rsidP="00C563F2">
            <w:pPr>
              <w:tabs>
                <w:tab w:val="center" w:pos="1962"/>
              </w:tabs>
              <w:spacing w:before="40" w:after="40" w:line="300" w:lineRule="exact"/>
              <w:ind w:left="248"/>
              <w:rPr>
                <w:rFonts w:ascii="Symbol" w:eastAsia="Calibri" w:hAnsi="Symbol" w:cs="Symbol"/>
              </w:rPr>
            </w:pPr>
            <w:r w:rsidRPr="00DF4132">
              <w:rPr>
                <w:rFonts w:hint="cs"/>
                <w:rtl/>
              </w:rPr>
              <w:t>من أجل</w:t>
            </w:r>
            <w:r w:rsidRPr="00DF4132">
              <w:tab/>
              <w:t xml:space="preserve">5°    &lt;   </w:t>
            </w:r>
            <w:r w:rsidRPr="00DF4132">
              <w:sym w:font="Symbol" w:char="F071"/>
            </w:r>
            <w:r w:rsidRPr="00DF4132">
              <w:t xml:space="preserve">   ≤   </w:t>
            </w:r>
            <w:r w:rsidR="00D91372">
              <w:t>9</w:t>
            </w:r>
            <w:r w:rsidRPr="00DF4132">
              <w:t>,</w:t>
            </w:r>
            <w:r w:rsidR="00D91372">
              <w:t>4</w:t>
            </w:r>
            <w:r w:rsidRPr="00DF4132">
              <w:t>°</w:t>
            </w:r>
          </w:p>
        </w:tc>
      </w:tr>
      <w:tr w:rsidR="0070741E" w:rsidRPr="00B9451F" w:rsidTr="00AD0FE8">
        <w:tc>
          <w:tcPr>
            <w:tcW w:w="5400" w:type="dxa"/>
            <w:shd w:val="clear" w:color="auto" w:fill="auto"/>
          </w:tcPr>
          <w:p w:rsidR="0070741E" w:rsidRPr="00DF4132" w:rsidRDefault="0070741E" w:rsidP="00C563F2">
            <w:pPr>
              <w:tabs>
                <w:tab w:val="clear" w:pos="1134"/>
                <w:tab w:val="left" w:pos="828"/>
                <w:tab w:val="center" w:pos="1440"/>
                <w:tab w:val="right" w:pos="5112"/>
              </w:tabs>
              <w:spacing w:before="40" w:after="40" w:line="300" w:lineRule="exact"/>
              <w:rPr>
                <w:rFonts w:ascii="Symbol" w:eastAsia="Calibri" w:hAnsi="Symbol" w:cs="Symbol"/>
                <w:szCs w:val="24"/>
              </w:rPr>
            </w:pPr>
            <w:r w:rsidRPr="00DF4132">
              <w:rPr>
                <w:szCs w:val="24"/>
              </w:rPr>
              <w:tab/>
            </w:r>
            <w:r w:rsidR="0010324E" w:rsidRPr="000E64FF">
              <w:t>-84.4 dB (W/(m</w:t>
            </w:r>
            <w:r w:rsidR="0010324E" w:rsidRPr="000E64FF">
              <w:rPr>
                <w:vertAlign w:val="superscript"/>
              </w:rPr>
              <w:t xml:space="preserve">2 </w:t>
            </w:r>
            <w:r w:rsidR="0010324E" w:rsidRPr="000E64FF">
              <w:t xml:space="preserve"> </w:t>
            </w:r>
            <w:r w:rsidR="0010324E" w:rsidRPr="000E64FF">
              <w:sym w:font="Symbol" w:char="F0D7"/>
            </w:r>
            <w:r w:rsidR="0010324E" w:rsidRPr="000E64FF">
              <w:t xml:space="preserve"> 14MHz))</w:t>
            </w:r>
          </w:p>
        </w:tc>
        <w:tc>
          <w:tcPr>
            <w:tcW w:w="3600" w:type="dxa"/>
            <w:shd w:val="clear" w:color="auto" w:fill="auto"/>
          </w:tcPr>
          <w:p w:rsidR="0070741E" w:rsidRPr="00DF4132" w:rsidRDefault="005E6033" w:rsidP="00C563F2">
            <w:pPr>
              <w:tabs>
                <w:tab w:val="center" w:pos="1962"/>
              </w:tabs>
              <w:spacing w:before="40" w:after="40" w:line="300" w:lineRule="exact"/>
              <w:ind w:left="248"/>
              <w:rPr>
                <w:rFonts w:ascii="Symbol" w:eastAsia="Calibri" w:hAnsi="Symbol" w:cs="Symbol"/>
              </w:rPr>
            </w:pPr>
            <w:r w:rsidRPr="00DF4132">
              <w:rPr>
                <w:rFonts w:hint="cs"/>
                <w:rtl/>
              </w:rPr>
              <w:t>من أجل</w:t>
            </w:r>
            <w:r w:rsidRPr="00DF4132">
              <w:tab/>
            </w:r>
            <w:r>
              <w:t>9</w:t>
            </w:r>
            <w:r w:rsidRPr="00DF4132">
              <w:t>,</w:t>
            </w:r>
            <w:r>
              <w:t>4</w:t>
            </w:r>
            <w:r w:rsidRPr="00DF4132">
              <w:t xml:space="preserve">°   &lt;   </w:t>
            </w:r>
            <w:r w:rsidRPr="00DF4132">
              <w:sym w:font="Symbol" w:char="F071"/>
            </w:r>
            <w:r w:rsidRPr="00DF4132">
              <w:t xml:space="preserve">   ≤   90°</w:t>
            </w:r>
          </w:p>
        </w:tc>
      </w:tr>
    </w:tbl>
    <w:p w:rsidR="0070741E" w:rsidRDefault="0070741E" w:rsidP="0070741E">
      <w:pPr>
        <w:rPr>
          <w:rtl/>
          <w:lang w:bidi="ar-EG"/>
        </w:rPr>
      </w:pPr>
      <w:r w:rsidRPr="00DF4132">
        <w:rPr>
          <w:rFonts w:hint="cs"/>
          <w:rtl/>
          <w:lang w:bidi="ar-EG"/>
        </w:rPr>
        <w:t xml:space="preserve">حيث </w:t>
      </w:r>
      <w:r w:rsidRPr="00DF4132">
        <w:sym w:font="Symbol" w:char="F071"/>
      </w:r>
      <w:r w:rsidRPr="00DF4132">
        <w:rPr>
          <w:rFonts w:hint="cs"/>
          <w:rtl/>
          <w:lang w:bidi="ar-EG"/>
        </w:rPr>
        <w:t xml:space="preserve"> زاوية وصول الموجة الراديوية (درجات فوق الأفق).</w:t>
      </w:r>
    </w:p>
    <w:p w:rsidR="0070741E" w:rsidRDefault="0070741E" w:rsidP="0070741E">
      <w:pPr>
        <w:pStyle w:val="Note"/>
        <w:rPr>
          <w:rtl/>
        </w:rPr>
      </w:pPr>
      <w:r>
        <w:rPr>
          <w:rFonts w:hint="cs"/>
          <w:rtl/>
        </w:rPr>
        <w:t>ال</w:t>
      </w:r>
      <w:r w:rsidRPr="00B554C7">
        <w:rPr>
          <w:rFonts w:hint="cs"/>
          <w:rtl/>
        </w:rPr>
        <w:t xml:space="preserve">ملاحظة </w:t>
      </w:r>
      <w:r w:rsidRPr="00B554C7">
        <w:t>1</w:t>
      </w:r>
      <w:r w:rsidRPr="00B554C7">
        <w:rPr>
          <w:rFonts w:hint="cs"/>
          <w:rtl/>
        </w:rPr>
        <w:t xml:space="preserve"> </w:t>
      </w:r>
      <w:r w:rsidRPr="00B554C7">
        <w:rPr>
          <w:rtl/>
        </w:rPr>
        <w:t>–</w:t>
      </w:r>
      <w:r>
        <w:rPr>
          <w:rFonts w:hint="cs"/>
          <w:rtl/>
        </w:rPr>
        <w:t xml:space="preserve"> </w:t>
      </w:r>
      <w:r w:rsidRPr="00C41FEA">
        <w:rPr>
          <w:rFonts w:hint="cs"/>
          <w:b w:val="0"/>
          <w:bCs w:val="0"/>
          <w:rtl/>
        </w:rPr>
        <w:t>تتعلق الحدود سالفة الذكر بكثافة تدفق القدرة وزوايا الوصول التي يمكن الحصول عليها في ظروف الانتشار في</w:t>
      </w:r>
      <w:r>
        <w:rPr>
          <w:rFonts w:hint="eastAsia"/>
          <w:b w:val="0"/>
          <w:bCs w:val="0"/>
          <w:rtl/>
        </w:rPr>
        <w:t> </w:t>
      </w:r>
      <w:r w:rsidRPr="00C41FEA">
        <w:rPr>
          <w:rFonts w:hint="cs"/>
          <w:b w:val="0"/>
          <w:bCs w:val="0"/>
          <w:rtl/>
        </w:rPr>
        <w:t>الفضاء الحر</w:t>
      </w:r>
      <w:r>
        <w:rPr>
          <w:rFonts w:hint="cs"/>
          <w:rtl/>
        </w:rPr>
        <w:t>.</w:t>
      </w:r>
    </w:p>
    <w:p w:rsidR="00A86777" w:rsidRDefault="00C563F2" w:rsidP="00A86777">
      <w:pPr>
        <w:pStyle w:val="Heading1"/>
        <w:rPr>
          <w:rtl/>
        </w:rPr>
      </w:pPr>
      <w:r>
        <w:t>3</w:t>
      </w:r>
      <w:r w:rsidR="00A86777">
        <w:tab/>
      </w:r>
      <w:r w:rsidR="00A86777">
        <w:rPr>
          <w:rFonts w:hint="cs"/>
          <w:rtl/>
        </w:rPr>
        <w:t>حماية الشبكات الأخرى للخدمة الثابتة الساتلية</w:t>
      </w:r>
    </w:p>
    <w:p w:rsidR="00C563F2" w:rsidRDefault="00A86777" w:rsidP="00C563F2">
      <w:pPr>
        <w:rPr>
          <w:lang w:bidi="ar-EG"/>
        </w:rPr>
      </w:pPr>
      <w:r>
        <w:rPr>
          <w:rFonts w:hint="cs"/>
          <w:rtl/>
          <w:lang w:bidi="ar-EG"/>
        </w:rPr>
        <w:t xml:space="preserve">ينبغي أن تكون شروط استعمال الطائرات دون طيار للوصلات </w:t>
      </w:r>
      <w:r>
        <w:rPr>
          <w:lang w:bidi="ar-EG"/>
        </w:rPr>
        <w:t>CNPC</w:t>
      </w:r>
      <w:r>
        <w:rPr>
          <w:rFonts w:hint="cs"/>
          <w:rtl/>
          <w:lang w:bidi="ar-EG"/>
        </w:rPr>
        <w:t xml:space="preserve"> على نحو يسمح بحماية الخدمة الثابتة الساتلية من</w:t>
      </w:r>
      <w:r w:rsidR="00C563F2">
        <w:rPr>
          <w:rFonts w:hint="eastAsia"/>
          <w:rtl/>
          <w:lang w:bidi="ar-EG"/>
        </w:rPr>
        <w:t> </w:t>
      </w:r>
      <w:r>
        <w:rPr>
          <w:rFonts w:hint="cs"/>
          <w:rtl/>
          <w:lang w:bidi="ar-EG"/>
        </w:rPr>
        <w:t>أ</w:t>
      </w:r>
      <w:r w:rsidR="00C563F2">
        <w:rPr>
          <w:rFonts w:hint="cs"/>
          <w:rtl/>
          <w:lang w:bidi="ar-EG"/>
        </w:rPr>
        <w:t xml:space="preserve">ي </w:t>
      </w:r>
      <w:r>
        <w:rPr>
          <w:rFonts w:hint="cs"/>
          <w:rtl/>
          <w:lang w:bidi="ar-EG"/>
        </w:rPr>
        <w:t xml:space="preserve">تداخل ضار على النحو </w:t>
      </w:r>
      <w:r w:rsidR="0010324E">
        <w:rPr>
          <w:rFonts w:hint="cs"/>
          <w:rtl/>
          <w:lang w:bidi="ar-EG"/>
        </w:rPr>
        <w:t>التالي</w:t>
      </w:r>
      <w:r>
        <w:rPr>
          <w:rFonts w:hint="cs"/>
          <w:rtl/>
          <w:lang w:bidi="ar-EG"/>
        </w:rPr>
        <w:t>.</w:t>
      </w:r>
    </w:p>
    <w:p w:rsidR="00A86777" w:rsidRPr="002C32D0" w:rsidRDefault="00A86777" w:rsidP="00C563F2">
      <w:pPr>
        <w:rPr>
          <w:rtl/>
          <w:lang w:bidi="ar-EG"/>
        </w:rPr>
      </w:pPr>
      <w:r>
        <w:rPr>
          <w:rFonts w:hint="cs"/>
          <w:rtl/>
          <w:lang w:bidi="ar-EG"/>
        </w:rPr>
        <w:t xml:space="preserve">يجب أن تمتثل الوصلات </w:t>
      </w:r>
      <w:r>
        <w:rPr>
          <w:lang w:bidi="ar-EG"/>
        </w:rPr>
        <w:t>UAS CNPC</w:t>
      </w:r>
      <w:r>
        <w:rPr>
          <w:rFonts w:hint="cs"/>
          <w:rtl/>
          <w:lang w:bidi="ar-EG"/>
        </w:rPr>
        <w:t xml:space="preserve"> للتوصية </w:t>
      </w:r>
      <w:r w:rsidRPr="00B9451F">
        <w:rPr>
          <w:rFonts w:eastAsia="Calibri"/>
        </w:rPr>
        <w:t>ITU</w:t>
      </w:r>
      <w:r w:rsidR="00C563F2">
        <w:rPr>
          <w:rFonts w:eastAsia="Calibri"/>
        </w:rPr>
        <w:noBreakHyphen/>
      </w:r>
      <w:r w:rsidRPr="00B9451F">
        <w:rPr>
          <w:rFonts w:eastAsia="Calibri"/>
        </w:rPr>
        <w:t>R</w:t>
      </w:r>
      <w:r w:rsidR="00C563F2">
        <w:rPr>
          <w:rFonts w:eastAsia="Calibri"/>
        </w:rPr>
        <w:t> </w:t>
      </w:r>
      <w:r w:rsidRPr="00B9451F">
        <w:rPr>
          <w:rFonts w:eastAsia="Calibri"/>
        </w:rPr>
        <w:t>S.524</w:t>
      </w:r>
      <w:r>
        <w:rPr>
          <w:rFonts w:eastAsia="Calibri" w:hint="cs"/>
          <w:rtl/>
          <w:lang w:bidi="ar-EG"/>
        </w:rPr>
        <w:t xml:space="preserve"> أو لمستويات التنسيق الأخرى المتفق عليها بين الإدارات وذلك في</w:t>
      </w:r>
      <w:r w:rsidR="00C563F2">
        <w:rPr>
          <w:rFonts w:eastAsia="Calibri" w:hint="eastAsia"/>
          <w:lang w:bidi="ar-EG"/>
        </w:rPr>
        <w:t> </w:t>
      </w:r>
      <w:r>
        <w:rPr>
          <w:rFonts w:eastAsia="Calibri" w:hint="cs"/>
          <w:rtl/>
          <w:lang w:bidi="ar-EG"/>
        </w:rPr>
        <w:t>جميع الأوقات</w:t>
      </w:r>
      <w:r>
        <w:rPr>
          <w:rFonts w:hint="cs"/>
          <w:rtl/>
          <w:lang w:bidi="ar-EG"/>
        </w:rPr>
        <w:t>.</w:t>
      </w:r>
    </w:p>
    <w:p w:rsidR="00A86777" w:rsidRDefault="00A86777" w:rsidP="00A86777">
      <w:pPr>
        <w:pStyle w:val="Heading1"/>
      </w:pPr>
      <w:r>
        <w:t>4</w:t>
      </w:r>
      <w:r>
        <w:tab/>
      </w:r>
      <w:r>
        <w:rPr>
          <w:rFonts w:hint="cs"/>
          <w:rtl/>
        </w:rPr>
        <w:t>حماية خدمة الفلك الراديوي</w:t>
      </w:r>
    </w:p>
    <w:p w:rsidR="0010324E" w:rsidRDefault="00A86777" w:rsidP="00A86777">
      <w:pPr>
        <w:rPr>
          <w:rtl/>
          <w:lang w:bidi="ar-EG"/>
        </w:rPr>
      </w:pPr>
      <w:r>
        <w:rPr>
          <w:rFonts w:hint="cs"/>
          <w:rtl/>
          <w:lang w:bidi="ar-EG"/>
        </w:rPr>
        <w:t xml:space="preserve">يحث الرقم </w:t>
      </w:r>
      <w:r w:rsidRPr="002B2895">
        <w:rPr>
          <w:b/>
          <w:bCs/>
          <w:lang w:bidi="ar-EG"/>
        </w:rPr>
        <w:t>149.5</w:t>
      </w:r>
      <w:r>
        <w:rPr>
          <w:rFonts w:hint="cs"/>
          <w:rtl/>
          <w:lang w:bidi="ar-EG"/>
        </w:rPr>
        <w:t xml:space="preserve"> من لوائح الراديو الإدارات </w:t>
      </w:r>
      <w:r>
        <w:rPr>
          <w:color w:val="000000"/>
          <w:rtl/>
        </w:rPr>
        <w:t>على اتخاذ جميع الخطوات الممكنة عملياً لحماية خدمة الفلك الراديوي من</w:t>
      </w:r>
      <w:r>
        <w:rPr>
          <w:rFonts w:hint="cs"/>
          <w:color w:val="000000"/>
          <w:rtl/>
        </w:rPr>
        <w:t> </w:t>
      </w:r>
      <w:r>
        <w:rPr>
          <w:color w:val="000000"/>
          <w:rtl/>
        </w:rPr>
        <w:t>التداخلات الضارة في</w:t>
      </w:r>
      <w:r>
        <w:rPr>
          <w:rFonts w:hint="cs"/>
          <w:rtl/>
          <w:lang w:bidi="ar-EG"/>
        </w:rPr>
        <w:t xml:space="preserve"> بعض النطاقات بما فيها النطاق </w:t>
      </w:r>
      <w:r>
        <w:rPr>
          <w:lang w:bidi="ar-EG"/>
        </w:rPr>
        <w:t>GHz 14,5-14,47</w:t>
      </w:r>
      <w:r>
        <w:rPr>
          <w:rFonts w:hint="cs"/>
          <w:rtl/>
          <w:lang w:bidi="ar-EG"/>
        </w:rPr>
        <w:t xml:space="preserve">، نظراً </w:t>
      </w:r>
      <w:r>
        <w:rPr>
          <w:rFonts w:hint="cs"/>
          <w:color w:val="000000"/>
          <w:rtl/>
        </w:rPr>
        <w:t>لأن</w:t>
      </w:r>
      <w:r>
        <w:rPr>
          <w:color w:val="000000"/>
          <w:rtl/>
        </w:rPr>
        <w:t xml:space="preserve"> </w:t>
      </w:r>
      <w:r>
        <w:rPr>
          <w:rFonts w:hint="cs"/>
          <w:color w:val="000000"/>
          <w:rtl/>
        </w:rPr>
        <w:t>ال</w:t>
      </w:r>
      <w:r>
        <w:rPr>
          <w:color w:val="000000"/>
          <w:rtl/>
        </w:rPr>
        <w:t>إرسالات</w:t>
      </w:r>
      <w:r>
        <w:rPr>
          <w:rFonts w:hint="cs"/>
          <w:color w:val="000000"/>
          <w:rtl/>
        </w:rPr>
        <w:t xml:space="preserve"> من</w:t>
      </w:r>
      <w:r>
        <w:rPr>
          <w:color w:val="000000"/>
          <w:rtl/>
        </w:rPr>
        <w:t xml:space="preserve"> محطات محمولة جواً أن </w:t>
      </w:r>
      <w:r>
        <w:rPr>
          <w:rFonts w:hint="cs"/>
          <w:color w:val="000000"/>
          <w:rtl/>
        </w:rPr>
        <w:t xml:space="preserve">يمكن أن </w:t>
      </w:r>
      <w:r>
        <w:rPr>
          <w:color w:val="000000"/>
          <w:rtl/>
        </w:rPr>
        <w:t>تشكل مصادر تداخل شديد للغاية لخدمة الفلك الراديوي</w:t>
      </w:r>
      <w:r w:rsidR="00C563F2">
        <w:rPr>
          <w:rFonts w:hint="cs"/>
          <w:rtl/>
          <w:lang w:bidi="ar-EG"/>
        </w:rPr>
        <w:t>.</w:t>
      </w:r>
    </w:p>
    <w:p w:rsidR="00A86777" w:rsidRDefault="00A86777" w:rsidP="00A86777">
      <w:pPr>
        <w:rPr>
          <w:lang w:bidi="ar-EG"/>
        </w:rPr>
      </w:pPr>
      <w:r>
        <w:rPr>
          <w:rFonts w:hint="cs"/>
          <w:rtl/>
          <w:lang w:bidi="ar-EG"/>
        </w:rPr>
        <w:t xml:space="preserve">وفي النطاق </w:t>
      </w:r>
      <w:r>
        <w:rPr>
          <w:lang w:bidi="ar-EG"/>
        </w:rPr>
        <w:t>GHz 14,5-14,47</w:t>
      </w:r>
      <w:r>
        <w:rPr>
          <w:rFonts w:hint="cs"/>
          <w:rtl/>
          <w:lang w:bidi="ar-EG"/>
        </w:rPr>
        <w:t xml:space="preserve">، سيكون من الضروري إجراء مشاورات بين محطات خدمة الفلك الراديوي وأنظمة الطائرات بدون طيار العاملة في نفس تردد الوصلات </w:t>
      </w:r>
      <w:r w:rsidRPr="002B2895">
        <w:rPr>
          <w:lang w:bidi="ar-EG"/>
        </w:rPr>
        <w:t>UAS CNPC</w:t>
      </w:r>
      <w:r>
        <w:rPr>
          <w:rFonts w:hint="cs"/>
          <w:b/>
          <w:bCs/>
          <w:rtl/>
          <w:lang w:bidi="ar-EG"/>
        </w:rPr>
        <w:t xml:space="preserve"> </w:t>
      </w:r>
      <w:r>
        <w:rPr>
          <w:rFonts w:hint="cs"/>
          <w:rtl/>
          <w:lang w:bidi="ar-EG"/>
        </w:rPr>
        <w:t xml:space="preserve">(أرض-فضاء) في خط البصر الراديوي </w:t>
      </w:r>
      <w:r>
        <w:rPr>
          <w:rFonts w:hint="cs"/>
          <w:color w:val="000000"/>
          <w:rtl/>
        </w:rPr>
        <w:t>ل</w:t>
      </w:r>
      <w:r>
        <w:rPr>
          <w:color w:val="000000"/>
          <w:rtl/>
        </w:rPr>
        <w:t>مراصد الفلك الراديوي</w:t>
      </w:r>
      <w:r>
        <w:rPr>
          <w:rFonts w:hint="cs"/>
          <w:rtl/>
          <w:lang w:bidi="ar-EG"/>
        </w:rPr>
        <w:t xml:space="preserve"> وذلك لمعالجة حالات عدم التوافق المحتملة.</w:t>
      </w:r>
    </w:p>
    <w:p w:rsidR="00C563F2" w:rsidRPr="001B55EA" w:rsidRDefault="00C563F2" w:rsidP="00C563F2">
      <w:pPr>
        <w:pStyle w:val="Reasons"/>
        <w:rPr>
          <w:rtl/>
          <w:lang w:bidi="ar-EG"/>
        </w:rPr>
      </w:pPr>
    </w:p>
    <w:p w:rsidR="00AA2712" w:rsidRPr="0070741E" w:rsidRDefault="00A823B8" w:rsidP="00A823B8">
      <w:pPr>
        <w:spacing w:before="600"/>
        <w:jc w:val="center"/>
        <w:rPr>
          <w:rtl/>
          <w:lang w:bidi="ar-EG"/>
        </w:rPr>
      </w:pPr>
      <w:r>
        <w:rPr>
          <w:rtl/>
          <w:lang w:bidi="ar-EG"/>
        </w:rPr>
        <w:t>___________</w:t>
      </w:r>
    </w:p>
    <w:sectPr w:rsidR="00AA2712" w:rsidRPr="0070741E"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B5B" w:rsidRDefault="00613B5B" w:rsidP="002919E1">
      <w:r>
        <w:separator/>
      </w:r>
    </w:p>
    <w:p w:rsidR="00613B5B" w:rsidRDefault="00613B5B" w:rsidP="002919E1"/>
    <w:p w:rsidR="00613B5B" w:rsidRDefault="00613B5B" w:rsidP="002919E1"/>
    <w:p w:rsidR="00613B5B" w:rsidRDefault="00613B5B"/>
  </w:endnote>
  <w:endnote w:type="continuationSeparator" w:id="0">
    <w:p w:rsidR="00613B5B" w:rsidRDefault="00613B5B" w:rsidP="002919E1">
      <w:r>
        <w:continuationSeparator/>
      </w:r>
    </w:p>
    <w:p w:rsidR="00613B5B" w:rsidRDefault="00613B5B" w:rsidP="002919E1"/>
    <w:p w:rsidR="00613B5B" w:rsidRDefault="00613B5B" w:rsidP="002919E1"/>
    <w:p w:rsidR="00613B5B" w:rsidRDefault="0061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A2712">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D53B1B">
      <w:rPr>
        <w:noProof/>
        <w:lang w:val="es-ES"/>
      </w:rPr>
      <w:t>P:\ARA\ITU-R\CONF-R\CMR15\100\125A.docx</w:t>
    </w:r>
    <w:r w:rsidRPr="00CB4300">
      <w:fldChar w:fldCharType="end"/>
    </w:r>
    <w:r w:rsidRPr="00CB4300">
      <w:rPr>
        <w:lang w:val="es-ES"/>
      </w:rPr>
      <w:t xml:space="preserve">  (</w:t>
    </w:r>
    <w:r w:rsidR="00AA2712">
      <w:rPr>
        <w:rFonts w:hint="cs"/>
        <w:rtl/>
        <w:lang w:val="es-ES"/>
      </w:rPr>
      <w:t>388930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D53B1B">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53B1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A2712">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AA2712">
      <w:rPr>
        <w:noProof/>
        <w:lang w:val="es-ES"/>
      </w:rPr>
      <w:t>P:\TRAD\A\ITU-R\CONF-R\CMR15\100\125A.docx</w:t>
    </w:r>
    <w:r>
      <w:fldChar w:fldCharType="end"/>
    </w:r>
    <w:r w:rsidRPr="00CB4300">
      <w:rPr>
        <w:lang w:val="es-ES"/>
      </w:rPr>
      <w:t xml:space="preserve">   (</w:t>
    </w:r>
    <w:r w:rsidR="00AA2712">
      <w:rPr>
        <w:rFonts w:hint="cs"/>
        <w:rtl/>
        <w:lang w:val="es-ES"/>
      </w:rPr>
      <w:t>388930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16AB8">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B5B" w:rsidRDefault="00613B5B" w:rsidP="002919E1">
      <w:r>
        <w:t>___________________</w:t>
      </w:r>
    </w:p>
  </w:footnote>
  <w:footnote w:type="continuationSeparator" w:id="0">
    <w:p w:rsidR="00613B5B" w:rsidRDefault="00613B5B" w:rsidP="002919E1">
      <w:r>
        <w:continuationSeparator/>
      </w:r>
    </w:p>
    <w:p w:rsidR="00613B5B" w:rsidRDefault="00613B5B" w:rsidP="002919E1"/>
    <w:p w:rsidR="00613B5B" w:rsidRDefault="00613B5B" w:rsidP="002919E1"/>
    <w:p w:rsidR="00613B5B" w:rsidRDefault="00613B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563F2">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125-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24E"/>
    <w:rsid w:val="0010363F"/>
    <w:rsid w:val="00112F2E"/>
    <w:rsid w:val="001464F2"/>
    <w:rsid w:val="0015042A"/>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2634"/>
    <w:rsid w:val="003355F5"/>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1293"/>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E6033"/>
    <w:rsid w:val="005F05CC"/>
    <w:rsid w:val="005F65DE"/>
    <w:rsid w:val="00613492"/>
    <w:rsid w:val="00613B5B"/>
    <w:rsid w:val="0062318D"/>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0741E"/>
    <w:rsid w:val="00716B1D"/>
    <w:rsid w:val="007248EC"/>
    <w:rsid w:val="00731150"/>
    <w:rsid w:val="00734B01"/>
    <w:rsid w:val="00736DCC"/>
    <w:rsid w:val="00741855"/>
    <w:rsid w:val="00742B73"/>
    <w:rsid w:val="00751251"/>
    <w:rsid w:val="007610E7"/>
    <w:rsid w:val="0076340E"/>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17BCE"/>
    <w:rsid w:val="00A22AE9"/>
    <w:rsid w:val="00A26758"/>
    <w:rsid w:val="00A26D0E"/>
    <w:rsid w:val="00A278E9"/>
    <w:rsid w:val="00A3451F"/>
    <w:rsid w:val="00A36268"/>
    <w:rsid w:val="00A40B2C"/>
    <w:rsid w:val="00A66D2B"/>
    <w:rsid w:val="00A823B8"/>
    <w:rsid w:val="00A83981"/>
    <w:rsid w:val="00A86777"/>
    <w:rsid w:val="00A870AD"/>
    <w:rsid w:val="00A90843"/>
    <w:rsid w:val="00A9645C"/>
    <w:rsid w:val="00AA2712"/>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5E2F"/>
    <w:rsid w:val="00BD6EF3"/>
    <w:rsid w:val="00BE69C3"/>
    <w:rsid w:val="00C1165E"/>
    <w:rsid w:val="00C22074"/>
    <w:rsid w:val="00C2377B"/>
    <w:rsid w:val="00C3693C"/>
    <w:rsid w:val="00C53F6F"/>
    <w:rsid w:val="00C5489D"/>
    <w:rsid w:val="00C563F2"/>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53B1B"/>
    <w:rsid w:val="00D62C78"/>
    <w:rsid w:val="00D81703"/>
    <w:rsid w:val="00D82929"/>
    <w:rsid w:val="00D84214"/>
    <w:rsid w:val="00D91372"/>
    <w:rsid w:val="00D943E5"/>
    <w:rsid w:val="00DA1AE0"/>
    <w:rsid w:val="00DC29DD"/>
    <w:rsid w:val="00DC7C0E"/>
    <w:rsid w:val="00DF2A6A"/>
    <w:rsid w:val="00DF3B72"/>
    <w:rsid w:val="00E10821"/>
    <w:rsid w:val="00E165ED"/>
    <w:rsid w:val="00E16AB8"/>
    <w:rsid w:val="00E2489D"/>
    <w:rsid w:val="00E25C06"/>
    <w:rsid w:val="00E26520"/>
    <w:rsid w:val="00E343A3"/>
    <w:rsid w:val="00E51BFA"/>
    <w:rsid w:val="00E60DCB"/>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D205C6-4A41-4029-B17A-435E3984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nnexNo0">
    <w:name w:val="Annex No"/>
    <w:basedOn w:val="Normal"/>
    <w:qFormat/>
    <w:rsid w:val="00AA271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AA2712"/>
    <w:pPr>
      <w:spacing w:before="120" w:after="360"/>
    </w:pPr>
    <w:rPr>
      <w:rFonts w:ascii="Times New Roman Bold" w:hAnsi="Times New Roman Bold"/>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R15-WRC15-C-0125!!MSW-A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4F1A5-FC53-4AF8-8341-8DEDC570F538}">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32a1a8c5-2265-4ebc-b7a0-2071e2c5c9bb"/>
    <ds:schemaRef ds:uri="http://schemas.microsoft.com/office/2006/documentManagement/type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37B8E8D0-C250-44B7-9BC9-2776B89A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1047</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R15-WRC15-C-0125!!MSW-A</vt:lpstr>
    </vt:vector>
  </TitlesOfParts>
  <Manager>General Secretariat - Pool</Manager>
  <Company>International Telecommunication Union (ITU)</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R15-WRC15-C-0125!!MSW-A</dc:title>
  <dc:creator>Documents Proposals Manager (DPM)</dc:creator>
  <cp:keywords>DPM_v5.2015.10.230_prod</cp:keywords>
  <cp:lastModifiedBy>Alnatoor, Ehsan</cp:lastModifiedBy>
  <cp:revision>3</cp:revision>
  <cp:lastPrinted>2011-11-07T13:53:00Z</cp:lastPrinted>
  <dcterms:created xsi:type="dcterms:W3CDTF">2015-11-01T21:33:00Z</dcterms:created>
  <dcterms:modified xsi:type="dcterms:W3CDTF">2015-11-01T21:47:00Z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